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AF4CA" w14:textId="66278867" w:rsidR="00194CA7" w:rsidRDefault="00321E09" w:rsidP="003601DE">
      <w:pPr>
        <w:rPr>
          <w:rFonts w:ascii="AvantGarde" w:hAnsi="AvantGarde"/>
          <w:b/>
          <w:sz w:val="36"/>
          <w:szCs w:val="36"/>
        </w:rPr>
      </w:pPr>
      <w:bookmarkStart w:id="0" w:name="_GoBack"/>
      <w:bookmarkEnd w:id="0"/>
      <w:r w:rsidRPr="003601DE">
        <w:rPr>
          <w:rFonts w:ascii="AvantGarde" w:hAnsi="AvantGarde"/>
          <w:b/>
          <w:sz w:val="36"/>
          <w:szCs w:val="36"/>
        </w:rPr>
        <w:t>20</w:t>
      </w:r>
      <w:r w:rsidR="00467BD7">
        <w:rPr>
          <w:rFonts w:ascii="AvantGarde" w:hAnsi="AvantGarde"/>
          <w:b/>
          <w:sz w:val="36"/>
          <w:szCs w:val="36"/>
        </w:rPr>
        <w:t>1</w:t>
      </w:r>
      <w:r w:rsidR="007B05B9">
        <w:rPr>
          <w:rFonts w:ascii="AvantGarde" w:hAnsi="AvantGarde"/>
          <w:b/>
          <w:sz w:val="36"/>
          <w:szCs w:val="36"/>
        </w:rPr>
        <w:t xml:space="preserve">4 </w:t>
      </w:r>
      <w:r w:rsidRPr="003601DE">
        <w:rPr>
          <w:rFonts w:ascii="AvantGarde" w:hAnsi="AvantGarde"/>
          <w:b/>
          <w:sz w:val="36"/>
          <w:szCs w:val="36"/>
        </w:rPr>
        <w:t xml:space="preserve">Load Impact Evaluation of California Statewide </w:t>
      </w:r>
      <w:r w:rsidR="00305DDF">
        <w:rPr>
          <w:rFonts w:ascii="AvantGarde" w:hAnsi="AvantGarde"/>
          <w:b/>
          <w:sz w:val="36"/>
          <w:szCs w:val="36"/>
        </w:rPr>
        <w:t>Base Interruptible</w:t>
      </w:r>
      <w:r w:rsidRPr="003601DE">
        <w:rPr>
          <w:rFonts w:ascii="AvantGarde" w:hAnsi="AvantGarde"/>
          <w:b/>
          <w:sz w:val="36"/>
          <w:szCs w:val="36"/>
        </w:rPr>
        <w:t xml:space="preserve"> Programs (B</w:t>
      </w:r>
      <w:r w:rsidR="00305DDF">
        <w:rPr>
          <w:rFonts w:ascii="AvantGarde" w:hAnsi="AvantGarde"/>
          <w:b/>
          <w:sz w:val="36"/>
          <w:szCs w:val="36"/>
        </w:rPr>
        <w:t>I</w:t>
      </w:r>
      <w:r w:rsidRPr="003601DE">
        <w:rPr>
          <w:rFonts w:ascii="AvantGarde" w:hAnsi="AvantGarde"/>
          <w:b/>
          <w:sz w:val="36"/>
          <w:szCs w:val="36"/>
        </w:rPr>
        <w:t xml:space="preserve">P) for Non-Residential Customers:  </w:t>
      </w:r>
    </w:p>
    <w:p w14:paraId="482DF007" w14:textId="77777777" w:rsidR="00321E09" w:rsidRPr="00E36F39" w:rsidRDefault="00321E09" w:rsidP="003601DE">
      <w:pPr>
        <w:rPr>
          <w:rFonts w:ascii="AvantGarde" w:hAnsi="AvantGarde"/>
          <w:b/>
          <w:sz w:val="36"/>
          <w:szCs w:val="36"/>
        </w:rPr>
      </w:pPr>
      <w:r w:rsidRPr="00E36F39">
        <w:rPr>
          <w:rFonts w:ascii="AvantGarde" w:hAnsi="AvantGarde"/>
          <w:b/>
          <w:sz w:val="36"/>
          <w:szCs w:val="36"/>
        </w:rPr>
        <w:t>Ex Post</w:t>
      </w:r>
      <w:r w:rsidR="00746CAA" w:rsidRPr="00E36F39">
        <w:rPr>
          <w:rFonts w:ascii="AvantGarde" w:hAnsi="AvantGarde"/>
          <w:b/>
          <w:sz w:val="36"/>
          <w:szCs w:val="36"/>
        </w:rPr>
        <w:t xml:space="preserve"> </w:t>
      </w:r>
      <w:r w:rsidR="009F7820" w:rsidRPr="00E36F39">
        <w:rPr>
          <w:rFonts w:ascii="AvantGarde" w:hAnsi="AvantGarde"/>
          <w:b/>
          <w:sz w:val="36"/>
          <w:szCs w:val="36"/>
        </w:rPr>
        <w:t xml:space="preserve">and Ex Ante </w:t>
      </w:r>
      <w:r w:rsidR="00047B5B" w:rsidRPr="00E36F39">
        <w:rPr>
          <w:rFonts w:ascii="AvantGarde" w:hAnsi="AvantGarde"/>
          <w:b/>
          <w:sz w:val="36"/>
          <w:szCs w:val="36"/>
        </w:rPr>
        <w:t>Report</w:t>
      </w:r>
      <w:r w:rsidRPr="00E36F39">
        <w:rPr>
          <w:rFonts w:ascii="AvantGarde" w:hAnsi="AvantGarde"/>
          <w:b/>
          <w:sz w:val="36"/>
          <w:szCs w:val="36"/>
        </w:rPr>
        <w:t xml:space="preserve"> </w:t>
      </w:r>
    </w:p>
    <w:p w14:paraId="255E261E" w14:textId="77777777" w:rsidR="00467BD7" w:rsidRPr="00E36F39" w:rsidRDefault="00467BD7" w:rsidP="003601DE">
      <w:pPr>
        <w:rPr>
          <w:rFonts w:ascii="AvantGarde" w:hAnsi="AvantGarde"/>
          <w:b/>
          <w:i/>
          <w:sz w:val="36"/>
          <w:szCs w:val="36"/>
        </w:rPr>
      </w:pPr>
    </w:p>
    <w:p w14:paraId="27E9241E" w14:textId="77777777" w:rsidR="00321E09" w:rsidRPr="00E36F39" w:rsidRDefault="00321E09" w:rsidP="003601DE">
      <w:pPr>
        <w:rPr>
          <w:rFonts w:ascii="AvantGarde" w:hAnsi="AvantGarde"/>
        </w:rPr>
      </w:pPr>
    </w:p>
    <w:p w14:paraId="361B56DC" w14:textId="77777777" w:rsidR="00321E09" w:rsidRPr="00E36F39" w:rsidRDefault="00321E09" w:rsidP="003601DE">
      <w:pPr>
        <w:rPr>
          <w:rFonts w:ascii="AvantGarde" w:hAnsi="AvantGarde"/>
        </w:rPr>
      </w:pPr>
    </w:p>
    <w:p w14:paraId="51E00618" w14:textId="0DB0E23C" w:rsidR="00321E09" w:rsidRPr="005651D3" w:rsidRDefault="005651D3" w:rsidP="003601DE">
      <w:pPr>
        <w:rPr>
          <w:rFonts w:ascii="AvantGarde" w:hAnsi="AvantGarde"/>
          <w:b/>
        </w:rPr>
      </w:pPr>
      <w:r w:rsidRPr="005651D3">
        <w:rPr>
          <w:rFonts w:ascii="AvantGarde" w:hAnsi="AvantGarde"/>
          <w:b/>
          <w:sz w:val="28"/>
          <w:szCs w:val="28"/>
        </w:rPr>
        <w:t xml:space="preserve">CALMAC Study ID </w:t>
      </w:r>
      <w:r w:rsidR="00EA3E4A">
        <w:rPr>
          <w:rFonts w:ascii="AvantGarde" w:hAnsi="AvantGarde"/>
          <w:b/>
          <w:sz w:val="28"/>
          <w:szCs w:val="28"/>
        </w:rPr>
        <w:t>SCE0367</w:t>
      </w:r>
    </w:p>
    <w:p w14:paraId="1A56AE33" w14:textId="77777777" w:rsidR="00321E09" w:rsidRDefault="00321E09" w:rsidP="003601DE">
      <w:pPr>
        <w:rPr>
          <w:rFonts w:ascii="AvantGarde" w:hAnsi="AvantGarde"/>
        </w:rPr>
      </w:pPr>
    </w:p>
    <w:p w14:paraId="0A658816" w14:textId="77777777" w:rsidR="00321E09" w:rsidRDefault="00321E09" w:rsidP="003601DE">
      <w:pPr>
        <w:rPr>
          <w:rFonts w:ascii="AvantGarde" w:hAnsi="AvantGarde"/>
        </w:rPr>
      </w:pPr>
    </w:p>
    <w:p w14:paraId="74227840" w14:textId="77777777" w:rsidR="000B3C39" w:rsidRDefault="000B3C39" w:rsidP="003601DE">
      <w:pPr>
        <w:rPr>
          <w:rFonts w:ascii="AvantGarde" w:hAnsi="AvantGarde"/>
          <w:lang w:val="nb-NO"/>
        </w:rPr>
      </w:pPr>
      <w:r w:rsidRPr="003601DE">
        <w:rPr>
          <w:rFonts w:ascii="AvantGarde" w:hAnsi="AvantGarde"/>
          <w:lang w:val="nb-NO"/>
        </w:rPr>
        <w:t>Daniel G. Hansen</w:t>
      </w:r>
    </w:p>
    <w:p w14:paraId="15A8C651" w14:textId="10A94CFD" w:rsidR="00305DDF" w:rsidRDefault="00305DDF" w:rsidP="003601DE">
      <w:pPr>
        <w:rPr>
          <w:rFonts w:ascii="AvantGarde" w:hAnsi="AvantGarde"/>
          <w:lang w:val="nb-NO"/>
        </w:rPr>
      </w:pPr>
      <w:r>
        <w:rPr>
          <w:rFonts w:ascii="AvantGarde" w:hAnsi="AvantGarde"/>
          <w:lang w:val="nb-NO"/>
        </w:rPr>
        <w:t>Tim Huegerich</w:t>
      </w:r>
    </w:p>
    <w:p w14:paraId="4662EE1B" w14:textId="77ADAEF8" w:rsidR="00214534" w:rsidRPr="003601DE" w:rsidRDefault="00214534" w:rsidP="003601DE">
      <w:pPr>
        <w:rPr>
          <w:rFonts w:ascii="AvantGarde" w:hAnsi="AvantGarde"/>
        </w:rPr>
      </w:pPr>
    </w:p>
    <w:p w14:paraId="5C555640" w14:textId="77777777" w:rsidR="00321E09" w:rsidRPr="003601DE" w:rsidRDefault="00321E09" w:rsidP="003601DE">
      <w:pPr>
        <w:rPr>
          <w:rFonts w:ascii="AvantGarde" w:hAnsi="AvantGarde"/>
        </w:rPr>
      </w:pPr>
    </w:p>
    <w:p w14:paraId="50DACA4A" w14:textId="77777777" w:rsidR="00321E09" w:rsidRPr="003601DE" w:rsidRDefault="00321E09" w:rsidP="003601DE">
      <w:pPr>
        <w:rPr>
          <w:rFonts w:ascii="AvantGarde" w:hAnsi="AvantGarde"/>
        </w:rPr>
      </w:pPr>
    </w:p>
    <w:p w14:paraId="748F4814" w14:textId="5226CA36" w:rsidR="00321E09" w:rsidRPr="003601DE" w:rsidRDefault="00C70496" w:rsidP="003601DE">
      <w:pPr>
        <w:rPr>
          <w:rFonts w:ascii="AvantGarde" w:hAnsi="AvantGarde"/>
          <w:i/>
        </w:rPr>
        <w:sectPr w:rsidR="00321E09" w:rsidRPr="003601DE" w:rsidSect="003601DE">
          <w:headerReference w:type="default" r:id="rId8"/>
          <w:footerReference w:type="even" r:id="rId9"/>
          <w:footerReference w:type="default" r:id="rId10"/>
          <w:pgSz w:w="12240" w:h="15840"/>
          <w:pgMar w:top="4863" w:right="432" w:bottom="2520" w:left="6754" w:header="2880" w:footer="1890" w:gutter="0"/>
          <w:pgNumType w:fmt="lowerRoman"/>
          <w:cols w:space="720"/>
          <w:docGrid w:linePitch="360"/>
        </w:sectPr>
      </w:pPr>
      <w:r>
        <w:rPr>
          <w:rFonts w:ascii="AvantGarde" w:hAnsi="AvantGarde"/>
          <w:i/>
        </w:rPr>
        <w:t>April 1</w:t>
      </w:r>
      <w:r w:rsidR="006D0B0C">
        <w:rPr>
          <w:rFonts w:ascii="AvantGarde" w:hAnsi="AvantGarde"/>
          <w:i/>
        </w:rPr>
        <w:t>, 2015</w:t>
      </w:r>
    </w:p>
    <w:p w14:paraId="37CD273E" w14:textId="77777777" w:rsidR="00321E09" w:rsidRPr="009D1511" w:rsidRDefault="00321E09" w:rsidP="009068D9">
      <w:pPr>
        <w:pStyle w:val="TOC1"/>
      </w:pPr>
      <w:r w:rsidRPr="009D1511">
        <w:lastRenderedPageBreak/>
        <w:t>Table of Contents</w:t>
      </w:r>
    </w:p>
    <w:p w14:paraId="546758A7" w14:textId="77777777" w:rsidR="00321E09" w:rsidRDefault="00321E09" w:rsidP="009D1511">
      <w:pPr>
        <w:pStyle w:val="TOC3"/>
      </w:pPr>
    </w:p>
    <w:p w14:paraId="75FF3266" w14:textId="77777777" w:rsidR="007E378A" w:rsidRDefault="00321E09">
      <w:pPr>
        <w:pStyle w:val="TOC1"/>
        <w:rPr>
          <w:rFonts w:asciiTheme="minorHAnsi" w:eastAsiaTheme="minorEastAsia" w:hAnsiTheme="minorHAnsi" w:cstheme="minorBidi"/>
          <w:b w:val="0"/>
          <w:noProof/>
          <w:sz w:val="22"/>
          <w:szCs w:val="22"/>
        </w:rPr>
      </w:pPr>
      <w:r w:rsidRPr="00421999">
        <w:rPr>
          <w:sz w:val="22"/>
          <w:szCs w:val="22"/>
        </w:rPr>
        <w:fldChar w:fldCharType="begin"/>
      </w:r>
      <w:r w:rsidRPr="00421999">
        <w:rPr>
          <w:sz w:val="22"/>
          <w:szCs w:val="22"/>
        </w:rPr>
        <w:instrText xml:space="preserve"> TOC \o "1-3" \h \z \u </w:instrText>
      </w:r>
      <w:r w:rsidRPr="00421999">
        <w:rPr>
          <w:sz w:val="22"/>
          <w:szCs w:val="22"/>
        </w:rPr>
        <w:fldChar w:fldCharType="separate"/>
      </w:r>
      <w:hyperlink w:anchor="_Toc415488931" w:history="1">
        <w:r w:rsidR="007E378A" w:rsidRPr="002A575B">
          <w:rPr>
            <w:rStyle w:val="Hyperlink"/>
            <w:noProof/>
          </w:rPr>
          <w:t>Abstract</w:t>
        </w:r>
        <w:r w:rsidR="007E378A">
          <w:rPr>
            <w:noProof/>
            <w:webHidden/>
          </w:rPr>
          <w:tab/>
        </w:r>
        <w:r w:rsidR="007E378A">
          <w:rPr>
            <w:noProof/>
            <w:webHidden/>
          </w:rPr>
          <w:fldChar w:fldCharType="begin"/>
        </w:r>
        <w:r w:rsidR="007E378A">
          <w:rPr>
            <w:noProof/>
            <w:webHidden/>
          </w:rPr>
          <w:instrText xml:space="preserve"> PAGEREF _Toc415488931 \h </w:instrText>
        </w:r>
        <w:r w:rsidR="007E378A">
          <w:rPr>
            <w:noProof/>
            <w:webHidden/>
          </w:rPr>
        </w:r>
        <w:r w:rsidR="007E378A">
          <w:rPr>
            <w:noProof/>
            <w:webHidden/>
          </w:rPr>
          <w:fldChar w:fldCharType="separate"/>
        </w:r>
        <w:r w:rsidR="007E378A">
          <w:rPr>
            <w:noProof/>
            <w:webHidden/>
          </w:rPr>
          <w:t>1</w:t>
        </w:r>
        <w:r w:rsidR="007E378A">
          <w:rPr>
            <w:noProof/>
            <w:webHidden/>
          </w:rPr>
          <w:fldChar w:fldCharType="end"/>
        </w:r>
      </w:hyperlink>
    </w:p>
    <w:p w14:paraId="5A3D5955" w14:textId="77777777" w:rsidR="007E378A" w:rsidRDefault="00891D9B">
      <w:pPr>
        <w:pStyle w:val="TOC1"/>
        <w:rPr>
          <w:rFonts w:asciiTheme="minorHAnsi" w:eastAsiaTheme="minorEastAsia" w:hAnsiTheme="minorHAnsi" w:cstheme="minorBidi"/>
          <w:b w:val="0"/>
          <w:noProof/>
          <w:sz w:val="22"/>
          <w:szCs w:val="22"/>
        </w:rPr>
      </w:pPr>
      <w:hyperlink w:anchor="_Toc415488932" w:history="1">
        <w:r w:rsidR="007E378A" w:rsidRPr="002A575B">
          <w:rPr>
            <w:rStyle w:val="Hyperlink"/>
            <w:noProof/>
          </w:rPr>
          <w:t>Executive Summary</w:t>
        </w:r>
        <w:r w:rsidR="007E378A">
          <w:rPr>
            <w:noProof/>
            <w:webHidden/>
          </w:rPr>
          <w:tab/>
        </w:r>
        <w:r w:rsidR="007E378A">
          <w:rPr>
            <w:noProof/>
            <w:webHidden/>
          </w:rPr>
          <w:fldChar w:fldCharType="begin"/>
        </w:r>
        <w:r w:rsidR="007E378A">
          <w:rPr>
            <w:noProof/>
            <w:webHidden/>
          </w:rPr>
          <w:instrText xml:space="preserve"> PAGEREF _Toc415488932 \h </w:instrText>
        </w:r>
        <w:r w:rsidR="007E378A">
          <w:rPr>
            <w:noProof/>
            <w:webHidden/>
          </w:rPr>
        </w:r>
        <w:r w:rsidR="007E378A">
          <w:rPr>
            <w:noProof/>
            <w:webHidden/>
          </w:rPr>
          <w:fldChar w:fldCharType="separate"/>
        </w:r>
        <w:r w:rsidR="007E378A">
          <w:rPr>
            <w:noProof/>
            <w:webHidden/>
          </w:rPr>
          <w:t>3</w:t>
        </w:r>
        <w:r w:rsidR="007E378A">
          <w:rPr>
            <w:noProof/>
            <w:webHidden/>
          </w:rPr>
          <w:fldChar w:fldCharType="end"/>
        </w:r>
      </w:hyperlink>
    </w:p>
    <w:p w14:paraId="7E98E977"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33" w:history="1">
        <w:r w:rsidR="007E378A" w:rsidRPr="002A575B">
          <w:rPr>
            <w:rStyle w:val="Hyperlink"/>
            <w:noProof/>
          </w:rPr>
          <w:t>ES.1 Resources Covered</w:t>
        </w:r>
        <w:r w:rsidR="007E378A">
          <w:rPr>
            <w:noProof/>
            <w:webHidden/>
          </w:rPr>
          <w:tab/>
        </w:r>
        <w:r w:rsidR="007E378A">
          <w:rPr>
            <w:noProof/>
            <w:webHidden/>
          </w:rPr>
          <w:fldChar w:fldCharType="begin"/>
        </w:r>
        <w:r w:rsidR="007E378A">
          <w:rPr>
            <w:noProof/>
            <w:webHidden/>
          </w:rPr>
          <w:instrText xml:space="preserve"> PAGEREF _Toc415488933 \h </w:instrText>
        </w:r>
        <w:r w:rsidR="007E378A">
          <w:rPr>
            <w:noProof/>
            <w:webHidden/>
          </w:rPr>
        </w:r>
        <w:r w:rsidR="007E378A">
          <w:rPr>
            <w:noProof/>
            <w:webHidden/>
          </w:rPr>
          <w:fldChar w:fldCharType="separate"/>
        </w:r>
        <w:r w:rsidR="007E378A">
          <w:rPr>
            <w:noProof/>
            <w:webHidden/>
          </w:rPr>
          <w:t>3</w:t>
        </w:r>
        <w:r w:rsidR="007E378A">
          <w:rPr>
            <w:noProof/>
            <w:webHidden/>
          </w:rPr>
          <w:fldChar w:fldCharType="end"/>
        </w:r>
      </w:hyperlink>
    </w:p>
    <w:p w14:paraId="4B418765" w14:textId="77777777" w:rsidR="007E378A" w:rsidRDefault="00891D9B">
      <w:pPr>
        <w:pStyle w:val="TOC3"/>
        <w:rPr>
          <w:rFonts w:asciiTheme="minorHAnsi" w:eastAsiaTheme="minorEastAsia" w:hAnsiTheme="minorHAnsi" w:cstheme="minorBidi"/>
          <w:noProof/>
          <w:sz w:val="22"/>
          <w:szCs w:val="22"/>
        </w:rPr>
      </w:pPr>
      <w:hyperlink w:anchor="_Toc415488934" w:history="1">
        <w:r w:rsidR="007E378A" w:rsidRPr="002A575B">
          <w:rPr>
            <w:rStyle w:val="Hyperlink"/>
            <w:noProof/>
          </w:rPr>
          <w:t>Base Interruptible Program</w:t>
        </w:r>
        <w:r w:rsidR="007E378A">
          <w:rPr>
            <w:noProof/>
            <w:webHidden/>
          </w:rPr>
          <w:tab/>
        </w:r>
        <w:r w:rsidR="007E378A">
          <w:rPr>
            <w:noProof/>
            <w:webHidden/>
          </w:rPr>
          <w:fldChar w:fldCharType="begin"/>
        </w:r>
        <w:r w:rsidR="007E378A">
          <w:rPr>
            <w:noProof/>
            <w:webHidden/>
          </w:rPr>
          <w:instrText xml:space="preserve"> PAGEREF _Toc415488934 \h </w:instrText>
        </w:r>
        <w:r w:rsidR="007E378A">
          <w:rPr>
            <w:noProof/>
            <w:webHidden/>
          </w:rPr>
        </w:r>
        <w:r w:rsidR="007E378A">
          <w:rPr>
            <w:noProof/>
            <w:webHidden/>
          </w:rPr>
          <w:fldChar w:fldCharType="separate"/>
        </w:r>
        <w:r w:rsidR="007E378A">
          <w:rPr>
            <w:noProof/>
            <w:webHidden/>
          </w:rPr>
          <w:t>3</w:t>
        </w:r>
        <w:r w:rsidR="007E378A">
          <w:rPr>
            <w:noProof/>
            <w:webHidden/>
          </w:rPr>
          <w:fldChar w:fldCharType="end"/>
        </w:r>
      </w:hyperlink>
    </w:p>
    <w:p w14:paraId="2BF40FA0" w14:textId="77777777" w:rsidR="007E378A" w:rsidRDefault="00891D9B">
      <w:pPr>
        <w:pStyle w:val="TOC3"/>
        <w:rPr>
          <w:rFonts w:asciiTheme="minorHAnsi" w:eastAsiaTheme="minorEastAsia" w:hAnsiTheme="minorHAnsi" w:cstheme="minorBidi"/>
          <w:noProof/>
          <w:sz w:val="22"/>
          <w:szCs w:val="22"/>
        </w:rPr>
      </w:pPr>
      <w:hyperlink w:anchor="_Toc415488935" w:history="1">
        <w:r w:rsidR="007E378A" w:rsidRPr="002A575B">
          <w:rPr>
            <w:rStyle w:val="Hyperlink"/>
            <w:noProof/>
          </w:rPr>
          <w:t>Enrollment</w:t>
        </w:r>
        <w:r w:rsidR="007E378A">
          <w:rPr>
            <w:noProof/>
            <w:webHidden/>
          </w:rPr>
          <w:tab/>
        </w:r>
        <w:r w:rsidR="007E378A">
          <w:rPr>
            <w:noProof/>
            <w:webHidden/>
          </w:rPr>
          <w:fldChar w:fldCharType="begin"/>
        </w:r>
        <w:r w:rsidR="007E378A">
          <w:rPr>
            <w:noProof/>
            <w:webHidden/>
          </w:rPr>
          <w:instrText xml:space="preserve"> PAGEREF _Toc415488935 \h </w:instrText>
        </w:r>
        <w:r w:rsidR="007E378A">
          <w:rPr>
            <w:noProof/>
            <w:webHidden/>
          </w:rPr>
        </w:r>
        <w:r w:rsidR="007E378A">
          <w:rPr>
            <w:noProof/>
            <w:webHidden/>
          </w:rPr>
          <w:fldChar w:fldCharType="separate"/>
        </w:r>
        <w:r w:rsidR="007E378A">
          <w:rPr>
            <w:noProof/>
            <w:webHidden/>
          </w:rPr>
          <w:t>3</w:t>
        </w:r>
        <w:r w:rsidR="007E378A">
          <w:rPr>
            <w:noProof/>
            <w:webHidden/>
          </w:rPr>
          <w:fldChar w:fldCharType="end"/>
        </w:r>
      </w:hyperlink>
    </w:p>
    <w:p w14:paraId="4D08301C"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36" w:history="1">
        <w:r w:rsidR="007E378A" w:rsidRPr="002A575B">
          <w:rPr>
            <w:rStyle w:val="Hyperlink"/>
            <w:noProof/>
          </w:rPr>
          <w:t>ES.2 Evaluation Methodology</w:t>
        </w:r>
        <w:r w:rsidR="007E378A">
          <w:rPr>
            <w:noProof/>
            <w:webHidden/>
          </w:rPr>
          <w:tab/>
        </w:r>
        <w:r w:rsidR="007E378A">
          <w:rPr>
            <w:noProof/>
            <w:webHidden/>
          </w:rPr>
          <w:fldChar w:fldCharType="begin"/>
        </w:r>
        <w:r w:rsidR="007E378A">
          <w:rPr>
            <w:noProof/>
            <w:webHidden/>
          </w:rPr>
          <w:instrText xml:space="preserve"> PAGEREF _Toc415488936 \h </w:instrText>
        </w:r>
        <w:r w:rsidR="007E378A">
          <w:rPr>
            <w:noProof/>
            <w:webHidden/>
          </w:rPr>
        </w:r>
        <w:r w:rsidR="007E378A">
          <w:rPr>
            <w:noProof/>
            <w:webHidden/>
          </w:rPr>
          <w:fldChar w:fldCharType="separate"/>
        </w:r>
        <w:r w:rsidR="007E378A">
          <w:rPr>
            <w:noProof/>
            <w:webHidden/>
          </w:rPr>
          <w:t>6</w:t>
        </w:r>
        <w:r w:rsidR="007E378A">
          <w:rPr>
            <w:noProof/>
            <w:webHidden/>
          </w:rPr>
          <w:fldChar w:fldCharType="end"/>
        </w:r>
      </w:hyperlink>
    </w:p>
    <w:p w14:paraId="4E2A8AD9"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37" w:history="1">
        <w:r w:rsidR="007E378A" w:rsidRPr="002A575B">
          <w:rPr>
            <w:rStyle w:val="Hyperlink"/>
            <w:noProof/>
          </w:rPr>
          <w:t>ES.3 Ex Post Load Impacts</w:t>
        </w:r>
        <w:r w:rsidR="007E378A">
          <w:rPr>
            <w:noProof/>
            <w:webHidden/>
          </w:rPr>
          <w:tab/>
        </w:r>
        <w:r w:rsidR="007E378A">
          <w:rPr>
            <w:noProof/>
            <w:webHidden/>
          </w:rPr>
          <w:fldChar w:fldCharType="begin"/>
        </w:r>
        <w:r w:rsidR="007E378A">
          <w:rPr>
            <w:noProof/>
            <w:webHidden/>
          </w:rPr>
          <w:instrText xml:space="preserve"> PAGEREF _Toc415488937 \h </w:instrText>
        </w:r>
        <w:r w:rsidR="007E378A">
          <w:rPr>
            <w:noProof/>
            <w:webHidden/>
          </w:rPr>
        </w:r>
        <w:r w:rsidR="007E378A">
          <w:rPr>
            <w:noProof/>
            <w:webHidden/>
          </w:rPr>
          <w:fldChar w:fldCharType="separate"/>
        </w:r>
        <w:r w:rsidR="007E378A">
          <w:rPr>
            <w:noProof/>
            <w:webHidden/>
          </w:rPr>
          <w:t>7</w:t>
        </w:r>
        <w:r w:rsidR="007E378A">
          <w:rPr>
            <w:noProof/>
            <w:webHidden/>
          </w:rPr>
          <w:fldChar w:fldCharType="end"/>
        </w:r>
      </w:hyperlink>
    </w:p>
    <w:p w14:paraId="511D7728"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38" w:history="1">
        <w:r w:rsidR="007E378A" w:rsidRPr="002A575B">
          <w:rPr>
            <w:rStyle w:val="Hyperlink"/>
            <w:noProof/>
          </w:rPr>
          <w:t>ES.4 Ex Ante Load Impacts</w:t>
        </w:r>
        <w:r w:rsidR="007E378A">
          <w:rPr>
            <w:noProof/>
            <w:webHidden/>
          </w:rPr>
          <w:tab/>
        </w:r>
        <w:r w:rsidR="007E378A">
          <w:rPr>
            <w:noProof/>
            <w:webHidden/>
          </w:rPr>
          <w:fldChar w:fldCharType="begin"/>
        </w:r>
        <w:r w:rsidR="007E378A">
          <w:rPr>
            <w:noProof/>
            <w:webHidden/>
          </w:rPr>
          <w:instrText xml:space="preserve"> PAGEREF _Toc415488938 \h </w:instrText>
        </w:r>
        <w:r w:rsidR="007E378A">
          <w:rPr>
            <w:noProof/>
            <w:webHidden/>
          </w:rPr>
        </w:r>
        <w:r w:rsidR="007E378A">
          <w:rPr>
            <w:noProof/>
            <w:webHidden/>
          </w:rPr>
          <w:fldChar w:fldCharType="separate"/>
        </w:r>
        <w:r w:rsidR="007E378A">
          <w:rPr>
            <w:noProof/>
            <w:webHidden/>
          </w:rPr>
          <w:t>7</w:t>
        </w:r>
        <w:r w:rsidR="007E378A">
          <w:rPr>
            <w:noProof/>
            <w:webHidden/>
          </w:rPr>
          <w:fldChar w:fldCharType="end"/>
        </w:r>
      </w:hyperlink>
    </w:p>
    <w:p w14:paraId="72710894" w14:textId="77777777" w:rsidR="007E378A" w:rsidRDefault="00891D9B">
      <w:pPr>
        <w:pStyle w:val="TOC1"/>
        <w:rPr>
          <w:rFonts w:asciiTheme="minorHAnsi" w:eastAsiaTheme="minorEastAsia" w:hAnsiTheme="minorHAnsi" w:cstheme="minorBidi"/>
          <w:b w:val="0"/>
          <w:noProof/>
          <w:sz w:val="22"/>
          <w:szCs w:val="22"/>
        </w:rPr>
      </w:pPr>
      <w:hyperlink w:anchor="_Toc415488939" w:history="1">
        <w:r w:rsidR="007E378A" w:rsidRPr="002A575B">
          <w:rPr>
            <w:rStyle w:val="Hyperlink"/>
            <w:noProof/>
          </w:rPr>
          <w:t>1. Introduction and Purpose of the Study</w:t>
        </w:r>
        <w:r w:rsidR="007E378A">
          <w:rPr>
            <w:noProof/>
            <w:webHidden/>
          </w:rPr>
          <w:tab/>
        </w:r>
        <w:r w:rsidR="007E378A">
          <w:rPr>
            <w:noProof/>
            <w:webHidden/>
          </w:rPr>
          <w:fldChar w:fldCharType="begin"/>
        </w:r>
        <w:r w:rsidR="007E378A">
          <w:rPr>
            <w:noProof/>
            <w:webHidden/>
          </w:rPr>
          <w:instrText xml:space="preserve"> PAGEREF _Toc415488939 \h </w:instrText>
        </w:r>
        <w:r w:rsidR="007E378A">
          <w:rPr>
            <w:noProof/>
            <w:webHidden/>
          </w:rPr>
        </w:r>
        <w:r w:rsidR="007E378A">
          <w:rPr>
            <w:noProof/>
            <w:webHidden/>
          </w:rPr>
          <w:fldChar w:fldCharType="separate"/>
        </w:r>
        <w:r w:rsidR="007E378A">
          <w:rPr>
            <w:noProof/>
            <w:webHidden/>
          </w:rPr>
          <w:t>10</w:t>
        </w:r>
        <w:r w:rsidR="007E378A">
          <w:rPr>
            <w:noProof/>
            <w:webHidden/>
          </w:rPr>
          <w:fldChar w:fldCharType="end"/>
        </w:r>
      </w:hyperlink>
    </w:p>
    <w:p w14:paraId="756307CE" w14:textId="77777777" w:rsidR="007E378A" w:rsidRDefault="00891D9B">
      <w:pPr>
        <w:pStyle w:val="TOC1"/>
        <w:rPr>
          <w:rFonts w:asciiTheme="minorHAnsi" w:eastAsiaTheme="minorEastAsia" w:hAnsiTheme="minorHAnsi" w:cstheme="minorBidi"/>
          <w:b w:val="0"/>
          <w:noProof/>
          <w:sz w:val="22"/>
          <w:szCs w:val="22"/>
        </w:rPr>
      </w:pPr>
      <w:hyperlink w:anchor="_Toc415488940" w:history="1">
        <w:r w:rsidR="007E378A" w:rsidRPr="002A575B">
          <w:rPr>
            <w:rStyle w:val="Hyperlink"/>
            <w:noProof/>
          </w:rPr>
          <w:t>2. Description of Resources Covered in the Study</w:t>
        </w:r>
        <w:r w:rsidR="007E378A">
          <w:rPr>
            <w:noProof/>
            <w:webHidden/>
          </w:rPr>
          <w:tab/>
        </w:r>
        <w:r w:rsidR="007E378A">
          <w:rPr>
            <w:noProof/>
            <w:webHidden/>
          </w:rPr>
          <w:fldChar w:fldCharType="begin"/>
        </w:r>
        <w:r w:rsidR="007E378A">
          <w:rPr>
            <w:noProof/>
            <w:webHidden/>
          </w:rPr>
          <w:instrText xml:space="preserve"> PAGEREF _Toc415488940 \h </w:instrText>
        </w:r>
        <w:r w:rsidR="007E378A">
          <w:rPr>
            <w:noProof/>
            <w:webHidden/>
          </w:rPr>
        </w:r>
        <w:r w:rsidR="007E378A">
          <w:rPr>
            <w:noProof/>
            <w:webHidden/>
          </w:rPr>
          <w:fldChar w:fldCharType="separate"/>
        </w:r>
        <w:r w:rsidR="007E378A">
          <w:rPr>
            <w:noProof/>
            <w:webHidden/>
          </w:rPr>
          <w:t>10</w:t>
        </w:r>
        <w:r w:rsidR="007E378A">
          <w:rPr>
            <w:noProof/>
            <w:webHidden/>
          </w:rPr>
          <w:fldChar w:fldCharType="end"/>
        </w:r>
      </w:hyperlink>
    </w:p>
    <w:p w14:paraId="732F555B"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41" w:history="1">
        <w:r w:rsidR="007E378A" w:rsidRPr="002A575B">
          <w:rPr>
            <w:rStyle w:val="Hyperlink"/>
            <w:noProof/>
          </w:rPr>
          <w:t>2.1 Program Descriptions</w:t>
        </w:r>
        <w:r w:rsidR="007E378A">
          <w:rPr>
            <w:noProof/>
            <w:webHidden/>
          </w:rPr>
          <w:tab/>
        </w:r>
        <w:r w:rsidR="007E378A">
          <w:rPr>
            <w:noProof/>
            <w:webHidden/>
          </w:rPr>
          <w:fldChar w:fldCharType="begin"/>
        </w:r>
        <w:r w:rsidR="007E378A">
          <w:rPr>
            <w:noProof/>
            <w:webHidden/>
          </w:rPr>
          <w:instrText xml:space="preserve"> PAGEREF _Toc415488941 \h </w:instrText>
        </w:r>
        <w:r w:rsidR="007E378A">
          <w:rPr>
            <w:noProof/>
            <w:webHidden/>
          </w:rPr>
        </w:r>
        <w:r w:rsidR="007E378A">
          <w:rPr>
            <w:noProof/>
            <w:webHidden/>
          </w:rPr>
          <w:fldChar w:fldCharType="separate"/>
        </w:r>
        <w:r w:rsidR="007E378A">
          <w:rPr>
            <w:noProof/>
            <w:webHidden/>
          </w:rPr>
          <w:t>10</w:t>
        </w:r>
        <w:r w:rsidR="007E378A">
          <w:rPr>
            <w:noProof/>
            <w:webHidden/>
          </w:rPr>
          <w:fldChar w:fldCharType="end"/>
        </w:r>
      </w:hyperlink>
    </w:p>
    <w:p w14:paraId="79EA7712" w14:textId="77777777" w:rsidR="007E378A" w:rsidRDefault="00891D9B">
      <w:pPr>
        <w:pStyle w:val="TOC3"/>
        <w:rPr>
          <w:rFonts w:asciiTheme="minorHAnsi" w:eastAsiaTheme="minorEastAsia" w:hAnsiTheme="minorHAnsi" w:cstheme="minorBidi"/>
          <w:noProof/>
          <w:sz w:val="22"/>
          <w:szCs w:val="22"/>
        </w:rPr>
      </w:pPr>
      <w:hyperlink w:anchor="_Toc415488942" w:history="1">
        <w:r w:rsidR="007E378A" w:rsidRPr="002A575B">
          <w:rPr>
            <w:rStyle w:val="Hyperlink"/>
            <w:noProof/>
          </w:rPr>
          <w:t>SCE’s Base Interruptible Program</w:t>
        </w:r>
        <w:r w:rsidR="007E378A">
          <w:rPr>
            <w:noProof/>
            <w:webHidden/>
          </w:rPr>
          <w:tab/>
        </w:r>
        <w:r w:rsidR="007E378A">
          <w:rPr>
            <w:noProof/>
            <w:webHidden/>
          </w:rPr>
          <w:fldChar w:fldCharType="begin"/>
        </w:r>
        <w:r w:rsidR="007E378A">
          <w:rPr>
            <w:noProof/>
            <w:webHidden/>
          </w:rPr>
          <w:instrText xml:space="preserve"> PAGEREF _Toc415488942 \h </w:instrText>
        </w:r>
        <w:r w:rsidR="007E378A">
          <w:rPr>
            <w:noProof/>
            <w:webHidden/>
          </w:rPr>
        </w:r>
        <w:r w:rsidR="007E378A">
          <w:rPr>
            <w:noProof/>
            <w:webHidden/>
          </w:rPr>
          <w:fldChar w:fldCharType="separate"/>
        </w:r>
        <w:r w:rsidR="007E378A">
          <w:rPr>
            <w:noProof/>
            <w:webHidden/>
          </w:rPr>
          <w:t>10</w:t>
        </w:r>
        <w:r w:rsidR="007E378A">
          <w:rPr>
            <w:noProof/>
            <w:webHidden/>
          </w:rPr>
          <w:fldChar w:fldCharType="end"/>
        </w:r>
      </w:hyperlink>
    </w:p>
    <w:p w14:paraId="32E6E6D9" w14:textId="77777777" w:rsidR="007E378A" w:rsidRDefault="00891D9B">
      <w:pPr>
        <w:pStyle w:val="TOC3"/>
        <w:rPr>
          <w:rFonts w:asciiTheme="minorHAnsi" w:eastAsiaTheme="minorEastAsia" w:hAnsiTheme="minorHAnsi" w:cstheme="minorBidi"/>
          <w:noProof/>
          <w:sz w:val="22"/>
          <w:szCs w:val="22"/>
        </w:rPr>
      </w:pPr>
      <w:hyperlink w:anchor="_Toc415488943" w:history="1">
        <w:r w:rsidR="007E378A" w:rsidRPr="002A575B">
          <w:rPr>
            <w:rStyle w:val="Hyperlink"/>
            <w:noProof/>
          </w:rPr>
          <w:t>PG&amp;E’s Base Interruptible Program</w:t>
        </w:r>
        <w:r w:rsidR="007E378A">
          <w:rPr>
            <w:noProof/>
            <w:webHidden/>
          </w:rPr>
          <w:tab/>
        </w:r>
        <w:r w:rsidR="007E378A">
          <w:rPr>
            <w:noProof/>
            <w:webHidden/>
          </w:rPr>
          <w:fldChar w:fldCharType="begin"/>
        </w:r>
        <w:r w:rsidR="007E378A">
          <w:rPr>
            <w:noProof/>
            <w:webHidden/>
          </w:rPr>
          <w:instrText xml:space="preserve"> PAGEREF _Toc415488943 \h </w:instrText>
        </w:r>
        <w:r w:rsidR="007E378A">
          <w:rPr>
            <w:noProof/>
            <w:webHidden/>
          </w:rPr>
        </w:r>
        <w:r w:rsidR="007E378A">
          <w:rPr>
            <w:noProof/>
            <w:webHidden/>
          </w:rPr>
          <w:fldChar w:fldCharType="separate"/>
        </w:r>
        <w:r w:rsidR="007E378A">
          <w:rPr>
            <w:noProof/>
            <w:webHidden/>
          </w:rPr>
          <w:t>11</w:t>
        </w:r>
        <w:r w:rsidR="007E378A">
          <w:rPr>
            <w:noProof/>
            <w:webHidden/>
          </w:rPr>
          <w:fldChar w:fldCharType="end"/>
        </w:r>
      </w:hyperlink>
    </w:p>
    <w:p w14:paraId="5F32EFAB" w14:textId="77777777" w:rsidR="007E378A" w:rsidRDefault="00891D9B">
      <w:pPr>
        <w:pStyle w:val="TOC3"/>
        <w:rPr>
          <w:rFonts w:asciiTheme="minorHAnsi" w:eastAsiaTheme="minorEastAsia" w:hAnsiTheme="minorHAnsi" w:cstheme="minorBidi"/>
          <w:noProof/>
          <w:sz w:val="22"/>
          <w:szCs w:val="22"/>
        </w:rPr>
      </w:pPr>
      <w:hyperlink w:anchor="_Toc415488944" w:history="1">
        <w:r w:rsidR="007E378A" w:rsidRPr="002A575B">
          <w:rPr>
            <w:rStyle w:val="Hyperlink"/>
            <w:noProof/>
          </w:rPr>
          <w:t>SDG&amp;E’s Base Interruptible Program</w:t>
        </w:r>
        <w:r w:rsidR="007E378A">
          <w:rPr>
            <w:noProof/>
            <w:webHidden/>
          </w:rPr>
          <w:tab/>
        </w:r>
        <w:r w:rsidR="007E378A">
          <w:rPr>
            <w:noProof/>
            <w:webHidden/>
          </w:rPr>
          <w:fldChar w:fldCharType="begin"/>
        </w:r>
        <w:r w:rsidR="007E378A">
          <w:rPr>
            <w:noProof/>
            <w:webHidden/>
          </w:rPr>
          <w:instrText xml:space="preserve"> PAGEREF _Toc415488944 \h </w:instrText>
        </w:r>
        <w:r w:rsidR="007E378A">
          <w:rPr>
            <w:noProof/>
            <w:webHidden/>
          </w:rPr>
        </w:r>
        <w:r w:rsidR="007E378A">
          <w:rPr>
            <w:noProof/>
            <w:webHidden/>
          </w:rPr>
          <w:fldChar w:fldCharType="separate"/>
        </w:r>
        <w:r w:rsidR="007E378A">
          <w:rPr>
            <w:noProof/>
            <w:webHidden/>
          </w:rPr>
          <w:t>11</w:t>
        </w:r>
        <w:r w:rsidR="007E378A">
          <w:rPr>
            <w:noProof/>
            <w:webHidden/>
          </w:rPr>
          <w:fldChar w:fldCharType="end"/>
        </w:r>
      </w:hyperlink>
    </w:p>
    <w:p w14:paraId="40214EFC"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45" w:history="1">
        <w:r w:rsidR="007E378A" w:rsidRPr="002A575B">
          <w:rPr>
            <w:rStyle w:val="Hyperlink"/>
            <w:noProof/>
          </w:rPr>
          <w:t>2.2 Participant Characteristics</w:t>
        </w:r>
        <w:r w:rsidR="007E378A">
          <w:rPr>
            <w:noProof/>
            <w:webHidden/>
          </w:rPr>
          <w:tab/>
        </w:r>
        <w:r w:rsidR="007E378A">
          <w:rPr>
            <w:noProof/>
            <w:webHidden/>
          </w:rPr>
          <w:fldChar w:fldCharType="begin"/>
        </w:r>
        <w:r w:rsidR="007E378A">
          <w:rPr>
            <w:noProof/>
            <w:webHidden/>
          </w:rPr>
          <w:instrText xml:space="preserve"> PAGEREF _Toc415488945 \h </w:instrText>
        </w:r>
        <w:r w:rsidR="007E378A">
          <w:rPr>
            <w:noProof/>
            <w:webHidden/>
          </w:rPr>
        </w:r>
        <w:r w:rsidR="007E378A">
          <w:rPr>
            <w:noProof/>
            <w:webHidden/>
          </w:rPr>
          <w:fldChar w:fldCharType="separate"/>
        </w:r>
        <w:r w:rsidR="007E378A">
          <w:rPr>
            <w:noProof/>
            <w:webHidden/>
          </w:rPr>
          <w:t>12</w:t>
        </w:r>
        <w:r w:rsidR="007E378A">
          <w:rPr>
            <w:noProof/>
            <w:webHidden/>
          </w:rPr>
          <w:fldChar w:fldCharType="end"/>
        </w:r>
      </w:hyperlink>
    </w:p>
    <w:p w14:paraId="58DFE78C" w14:textId="77777777" w:rsidR="007E378A" w:rsidRDefault="00891D9B">
      <w:pPr>
        <w:pStyle w:val="TOC3"/>
        <w:rPr>
          <w:rFonts w:asciiTheme="minorHAnsi" w:eastAsiaTheme="minorEastAsia" w:hAnsiTheme="minorHAnsi" w:cstheme="minorBidi"/>
          <w:noProof/>
          <w:sz w:val="22"/>
          <w:szCs w:val="22"/>
        </w:rPr>
      </w:pPr>
      <w:hyperlink w:anchor="_Toc415488946" w:history="1">
        <w:r w:rsidR="007E378A" w:rsidRPr="002A575B">
          <w:rPr>
            <w:rStyle w:val="Hyperlink"/>
            <w:noProof/>
          </w:rPr>
          <w:t>2.2.1 Development of Customer Groups</w:t>
        </w:r>
        <w:r w:rsidR="007E378A">
          <w:rPr>
            <w:noProof/>
            <w:webHidden/>
          </w:rPr>
          <w:tab/>
        </w:r>
        <w:r w:rsidR="007E378A">
          <w:rPr>
            <w:noProof/>
            <w:webHidden/>
          </w:rPr>
          <w:fldChar w:fldCharType="begin"/>
        </w:r>
        <w:r w:rsidR="007E378A">
          <w:rPr>
            <w:noProof/>
            <w:webHidden/>
          </w:rPr>
          <w:instrText xml:space="preserve"> PAGEREF _Toc415488946 \h </w:instrText>
        </w:r>
        <w:r w:rsidR="007E378A">
          <w:rPr>
            <w:noProof/>
            <w:webHidden/>
          </w:rPr>
        </w:r>
        <w:r w:rsidR="007E378A">
          <w:rPr>
            <w:noProof/>
            <w:webHidden/>
          </w:rPr>
          <w:fldChar w:fldCharType="separate"/>
        </w:r>
        <w:r w:rsidR="007E378A">
          <w:rPr>
            <w:noProof/>
            <w:webHidden/>
          </w:rPr>
          <w:t>12</w:t>
        </w:r>
        <w:r w:rsidR="007E378A">
          <w:rPr>
            <w:noProof/>
            <w:webHidden/>
          </w:rPr>
          <w:fldChar w:fldCharType="end"/>
        </w:r>
      </w:hyperlink>
    </w:p>
    <w:p w14:paraId="20C2C313" w14:textId="77777777" w:rsidR="007E378A" w:rsidRDefault="00891D9B">
      <w:pPr>
        <w:pStyle w:val="TOC3"/>
        <w:rPr>
          <w:rFonts w:asciiTheme="minorHAnsi" w:eastAsiaTheme="minorEastAsia" w:hAnsiTheme="minorHAnsi" w:cstheme="minorBidi"/>
          <w:noProof/>
          <w:sz w:val="22"/>
          <w:szCs w:val="22"/>
        </w:rPr>
      </w:pPr>
      <w:hyperlink w:anchor="_Toc415488947" w:history="1">
        <w:r w:rsidR="007E378A" w:rsidRPr="002A575B">
          <w:rPr>
            <w:rStyle w:val="Hyperlink"/>
            <w:noProof/>
          </w:rPr>
          <w:t>2.2.2 Program Participants by Type</w:t>
        </w:r>
        <w:r w:rsidR="007E378A">
          <w:rPr>
            <w:noProof/>
            <w:webHidden/>
          </w:rPr>
          <w:tab/>
        </w:r>
        <w:r w:rsidR="007E378A">
          <w:rPr>
            <w:noProof/>
            <w:webHidden/>
          </w:rPr>
          <w:fldChar w:fldCharType="begin"/>
        </w:r>
        <w:r w:rsidR="007E378A">
          <w:rPr>
            <w:noProof/>
            <w:webHidden/>
          </w:rPr>
          <w:instrText xml:space="preserve"> PAGEREF _Toc415488947 \h </w:instrText>
        </w:r>
        <w:r w:rsidR="007E378A">
          <w:rPr>
            <w:noProof/>
            <w:webHidden/>
          </w:rPr>
        </w:r>
        <w:r w:rsidR="007E378A">
          <w:rPr>
            <w:noProof/>
            <w:webHidden/>
          </w:rPr>
          <w:fldChar w:fldCharType="separate"/>
        </w:r>
        <w:r w:rsidR="007E378A">
          <w:rPr>
            <w:noProof/>
            <w:webHidden/>
          </w:rPr>
          <w:t>12</w:t>
        </w:r>
        <w:r w:rsidR="007E378A">
          <w:rPr>
            <w:noProof/>
            <w:webHidden/>
          </w:rPr>
          <w:fldChar w:fldCharType="end"/>
        </w:r>
      </w:hyperlink>
    </w:p>
    <w:p w14:paraId="6AC261E1"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48" w:history="1">
        <w:r w:rsidR="007E378A" w:rsidRPr="002A575B">
          <w:rPr>
            <w:rStyle w:val="Hyperlink"/>
            <w:noProof/>
          </w:rPr>
          <w:t>2.3 Event Days</w:t>
        </w:r>
        <w:r w:rsidR="007E378A">
          <w:rPr>
            <w:noProof/>
            <w:webHidden/>
          </w:rPr>
          <w:tab/>
        </w:r>
        <w:r w:rsidR="007E378A">
          <w:rPr>
            <w:noProof/>
            <w:webHidden/>
          </w:rPr>
          <w:fldChar w:fldCharType="begin"/>
        </w:r>
        <w:r w:rsidR="007E378A">
          <w:rPr>
            <w:noProof/>
            <w:webHidden/>
          </w:rPr>
          <w:instrText xml:space="preserve"> PAGEREF _Toc415488948 \h </w:instrText>
        </w:r>
        <w:r w:rsidR="007E378A">
          <w:rPr>
            <w:noProof/>
            <w:webHidden/>
          </w:rPr>
        </w:r>
        <w:r w:rsidR="007E378A">
          <w:rPr>
            <w:noProof/>
            <w:webHidden/>
          </w:rPr>
          <w:fldChar w:fldCharType="separate"/>
        </w:r>
        <w:r w:rsidR="007E378A">
          <w:rPr>
            <w:noProof/>
            <w:webHidden/>
          </w:rPr>
          <w:t>14</w:t>
        </w:r>
        <w:r w:rsidR="007E378A">
          <w:rPr>
            <w:noProof/>
            <w:webHidden/>
          </w:rPr>
          <w:fldChar w:fldCharType="end"/>
        </w:r>
      </w:hyperlink>
    </w:p>
    <w:p w14:paraId="3E31D47F" w14:textId="77777777" w:rsidR="007E378A" w:rsidRDefault="00891D9B">
      <w:pPr>
        <w:pStyle w:val="TOC1"/>
        <w:rPr>
          <w:rFonts w:asciiTheme="minorHAnsi" w:eastAsiaTheme="minorEastAsia" w:hAnsiTheme="minorHAnsi" w:cstheme="minorBidi"/>
          <w:b w:val="0"/>
          <w:noProof/>
          <w:sz w:val="22"/>
          <w:szCs w:val="22"/>
        </w:rPr>
      </w:pPr>
      <w:hyperlink w:anchor="_Toc415488949" w:history="1">
        <w:r w:rsidR="007E378A" w:rsidRPr="002A575B">
          <w:rPr>
            <w:rStyle w:val="Hyperlink"/>
            <w:noProof/>
          </w:rPr>
          <w:t>3. Study Methodology</w:t>
        </w:r>
        <w:r w:rsidR="007E378A">
          <w:rPr>
            <w:noProof/>
            <w:webHidden/>
          </w:rPr>
          <w:tab/>
        </w:r>
        <w:r w:rsidR="007E378A">
          <w:rPr>
            <w:noProof/>
            <w:webHidden/>
          </w:rPr>
          <w:fldChar w:fldCharType="begin"/>
        </w:r>
        <w:r w:rsidR="007E378A">
          <w:rPr>
            <w:noProof/>
            <w:webHidden/>
          </w:rPr>
          <w:instrText xml:space="preserve"> PAGEREF _Toc415488949 \h </w:instrText>
        </w:r>
        <w:r w:rsidR="007E378A">
          <w:rPr>
            <w:noProof/>
            <w:webHidden/>
          </w:rPr>
        </w:r>
        <w:r w:rsidR="007E378A">
          <w:rPr>
            <w:noProof/>
            <w:webHidden/>
          </w:rPr>
          <w:fldChar w:fldCharType="separate"/>
        </w:r>
        <w:r w:rsidR="007E378A">
          <w:rPr>
            <w:noProof/>
            <w:webHidden/>
          </w:rPr>
          <w:t>15</w:t>
        </w:r>
        <w:r w:rsidR="007E378A">
          <w:rPr>
            <w:noProof/>
            <w:webHidden/>
          </w:rPr>
          <w:fldChar w:fldCharType="end"/>
        </w:r>
      </w:hyperlink>
    </w:p>
    <w:p w14:paraId="18B1EB39"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50" w:history="1">
        <w:r w:rsidR="007E378A" w:rsidRPr="002A575B">
          <w:rPr>
            <w:rStyle w:val="Hyperlink"/>
            <w:noProof/>
          </w:rPr>
          <w:t>3.1 Overview</w:t>
        </w:r>
        <w:r w:rsidR="007E378A">
          <w:rPr>
            <w:noProof/>
            <w:webHidden/>
          </w:rPr>
          <w:tab/>
        </w:r>
        <w:r w:rsidR="007E378A">
          <w:rPr>
            <w:noProof/>
            <w:webHidden/>
          </w:rPr>
          <w:fldChar w:fldCharType="begin"/>
        </w:r>
        <w:r w:rsidR="007E378A">
          <w:rPr>
            <w:noProof/>
            <w:webHidden/>
          </w:rPr>
          <w:instrText xml:space="preserve"> PAGEREF _Toc415488950 \h </w:instrText>
        </w:r>
        <w:r w:rsidR="007E378A">
          <w:rPr>
            <w:noProof/>
            <w:webHidden/>
          </w:rPr>
        </w:r>
        <w:r w:rsidR="007E378A">
          <w:rPr>
            <w:noProof/>
            <w:webHidden/>
          </w:rPr>
          <w:fldChar w:fldCharType="separate"/>
        </w:r>
        <w:r w:rsidR="007E378A">
          <w:rPr>
            <w:noProof/>
            <w:webHidden/>
          </w:rPr>
          <w:t>15</w:t>
        </w:r>
        <w:r w:rsidR="007E378A">
          <w:rPr>
            <w:noProof/>
            <w:webHidden/>
          </w:rPr>
          <w:fldChar w:fldCharType="end"/>
        </w:r>
      </w:hyperlink>
    </w:p>
    <w:p w14:paraId="7C99B070"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51" w:history="1">
        <w:r w:rsidR="007E378A" w:rsidRPr="002A575B">
          <w:rPr>
            <w:rStyle w:val="Hyperlink"/>
            <w:noProof/>
          </w:rPr>
          <w:t>3.2 Description of methods</w:t>
        </w:r>
        <w:r w:rsidR="007E378A">
          <w:rPr>
            <w:noProof/>
            <w:webHidden/>
          </w:rPr>
          <w:tab/>
        </w:r>
        <w:r w:rsidR="007E378A">
          <w:rPr>
            <w:noProof/>
            <w:webHidden/>
          </w:rPr>
          <w:fldChar w:fldCharType="begin"/>
        </w:r>
        <w:r w:rsidR="007E378A">
          <w:rPr>
            <w:noProof/>
            <w:webHidden/>
          </w:rPr>
          <w:instrText xml:space="preserve"> PAGEREF _Toc415488951 \h </w:instrText>
        </w:r>
        <w:r w:rsidR="007E378A">
          <w:rPr>
            <w:noProof/>
            <w:webHidden/>
          </w:rPr>
        </w:r>
        <w:r w:rsidR="007E378A">
          <w:rPr>
            <w:noProof/>
            <w:webHidden/>
          </w:rPr>
          <w:fldChar w:fldCharType="separate"/>
        </w:r>
        <w:r w:rsidR="007E378A">
          <w:rPr>
            <w:noProof/>
            <w:webHidden/>
          </w:rPr>
          <w:t>16</w:t>
        </w:r>
        <w:r w:rsidR="007E378A">
          <w:rPr>
            <w:noProof/>
            <w:webHidden/>
          </w:rPr>
          <w:fldChar w:fldCharType="end"/>
        </w:r>
      </w:hyperlink>
    </w:p>
    <w:p w14:paraId="2F12A483" w14:textId="77777777" w:rsidR="007E378A" w:rsidRDefault="00891D9B">
      <w:pPr>
        <w:pStyle w:val="TOC3"/>
        <w:rPr>
          <w:rFonts w:asciiTheme="minorHAnsi" w:eastAsiaTheme="minorEastAsia" w:hAnsiTheme="minorHAnsi" w:cstheme="minorBidi"/>
          <w:noProof/>
          <w:sz w:val="22"/>
          <w:szCs w:val="22"/>
        </w:rPr>
      </w:pPr>
      <w:hyperlink w:anchor="_Toc415488952" w:history="1">
        <w:r w:rsidR="007E378A" w:rsidRPr="002A575B">
          <w:rPr>
            <w:rStyle w:val="Hyperlink"/>
            <w:noProof/>
          </w:rPr>
          <w:t>3.2.1 Regression Model</w:t>
        </w:r>
        <w:r w:rsidR="007E378A">
          <w:rPr>
            <w:noProof/>
            <w:webHidden/>
          </w:rPr>
          <w:tab/>
        </w:r>
        <w:r w:rsidR="007E378A">
          <w:rPr>
            <w:noProof/>
            <w:webHidden/>
          </w:rPr>
          <w:fldChar w:fldCharType="begin"/>
        </w:r>
        <w:r w:rsidR="007E378A">
          <w:rPr>
            <w:noProof/>
            <w:webHidden/>
          </w:rPr>
          <w:instrText xml:space="preserve"> PAGEREF _Toc415488952 \h </w:instrText>
        </w:r>
        <w:r w:rsidR="007E378A">
          <w:rPr>
            <w:noProof/>
            <w:webHidden/>
          </w:rPr>
        </w:r>
        <w:r w:rsidR="007E378A">
          <w:rPr>
            <w:noProof/>
            <w:webHidden/>
          </w:rPr>
          <w:fldChar w:fldCharType="separate"/>
        </w:r>
        <w:r w:rsidR="007E378A">
          <w:rPr>
            <w:noProof/>
            <w:webHidden/>
          </w:rPr>
          <w:t>16</w:t>
        </w:r>
        <w:r w:rsidR="007E378A">
          <w:rPr>
            <w:noProof/>
            <w:webHidden/>
          </w:rPr>
          <w:fldChar w:fldCharType="end"/>
        </w:r>
      </w:hyperlink>
    </w:p>
    <w:p w14:paraId="793DF7C0" w14:textId="77777777" w:rsidR="007E378A" w:rsidRDefault="00891D9B">
      <w:pPr>
        <w:pStyle w:val="TOC3"/>
        <w:rPr>
          <w:rFonts w:asciiTheme="minorHAnsi" w:eastAsiaTheme="minorEastAsia" w:hAnsiTheme="minorHAnsi" w:cstheme="minorBidi"/>
          <w:noProof/>
          <w:sz w:val="22"/>
          <w:szCs w:val="22"/>
        </w:rPr>
      </w:pPr>
      <w:hyperlink w:anchor="_Toc415488953" w:history="1">
        <w:r w:rsidR="007E378A" w:rsidRPr="002A575B">
          <w:rPr>
            <w:rStyle w:val="Hyperlink"/>
            <w:noProof/>
          </w:rPr>
          <w:t>3.2.2 Development of Uncertainty-Adjusted Load Impacts</w:t>
        </w:r>
        <w:r w:rsidR="007E378A">
          <w:rPr>
            <w:noProof/>
            <w:webHidden/>
          </w:rPr>
          <w:tab/>
        </w:r>
        <w:r w:rsidR="007E378A">
          <w:rPr>
            <w:noProof/>
            <w:webHidden/>
          </w:rPr>
          <w:fldChar w:fldCharType="begin"/>
        </w:r>
        <w:r w:rsidR="007E378A">
          <w:rPr>
            <w:noProof/>
            <w:webHidden/>
          </w:rPr>
          <w:instrText xml:space="preserve"> PAGEREF _Toc415488953 \h </w:instrText>
        </w:r>
        <w:r w:rsidR="007E378A">
          <w:rPr>
            <w:noProof/>
            <w:webHidden/>
          </w:rPr>
        </w:r>
        <w:r w:rsidR="007E378A">
          <w:rPr>
            <w:noProof/>
            <w:webHidden/>
          </w:rPr>
          <w:fldChar w:fldCharType="separate"/>
        </w:r>
        <w:r w:rsidR="007E378A">
          <w:rPr>
            <w:noProof/>
            <w:webHidden/>
          </w:rPr>
          <w:t>17</w:t>
        </w:r>
        <w:r w:rsidR="007E378A">
          <w:rPr>
            <w:noProof/>
            <w:webHidden/>
          </w:rPr>
          <w:fldChar w:fldCharType="end"/>
        </w:r>
      </w:hyperlink>
    </w:p>
    <w:p w14:paraId="59566980" w14:textId="77777777" w:rsidR="007E378A" w:rsidRDefault="00891D9B">
      <w:pPr>
        <w:pStyle w:val="TOC1"/>
        <w:rPr>
          <w:rFonts w:asciiTheme="minorHAnsi" w:eastAsiaTheme="minorEastAsia" w:hAnsiTheme="minorHAnsi" w:cstheme="minorBidi"/>
          <w:b w:val="0"/>
          <w:noProof/>
          <w:sz w:val="22"/>
          <w:szCs w:val="22"/>
        </w:rPr>
      </w:pPr>
      <w:hyperlink w:anchor="_Toc415488954" w:history="1">
        <w:r w:rsidR="007E378A" w:rsidRPr="002A575B">
          <w:rPr>
            <w:rStyle w:val="Hyperlink"/>
            <w:noProof/>
          </w:rPr>
          <w:t>4. Detailed Study Findings</w:t>
        </w:r>
        <w:r w:rsidR="007E378A">
          <w:rPr>
            <w:noProof/>
            <w:webHidden/>
          </w:rPr>
          <w:tab/>
        </w:r>
        <w:r w:rsidR="007E378A">
          <w:rPr>
            <w:noProof/>
            <w:webHidden/>
          </w:rPr>
          <w:fldChar w:fldCharType="begin"/>
        </w:r>
        <w:r w:rsidR="007E378A">
          <w:rPr>
            <w:noProof/>
            <w:webHidden/>
          </w:rPr>
          <w:instrText xml:space="preserve"> PAGEREF _Toc415488954 \h </w:instrText>
        </w:r>
        <w:r w:rsidR="007E378A">
          <w:rPr>
            <w:noProof/>
            <w:webHidden/>
          </w:rPr>
        </w:r>
        <w:r w:rsidR="007E378A">
          <w:rPr>
            <w:noProof/>
            <w:webHidden/>
          </w:rPr>
          <w:fldChar w:fldCharType="separate"/>
        </w:r>
        <w:r w:rsidR="007E378A">
          <w:rPr>
            <w:noProof/>
            <w:webHidden/>
          </w:rPr>
          <w:t>17</w:t>
        </w:r>
        <w:r w:rsidR="007E378A">
          <w:rPr>
            <w:noProof/>
            <w:webHidden/>
          </w:rPr>
          <w:fldChar w:fldCharType="end"/>
        </w:r>
      </w:hyperlink>
    </w:p>
    <w:p w14:paraId="631A2AF1"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55" w:history="1">
        <w:r w:rsidR="007E378A" w:rsidRPr="002A575B">
          <w:rPr>
            <w:rStyle w:val="Hyperlink"/>
            <w:noProof/>
          </w:rPr>
          <w:t>4.1 PG&amp;E Load Impacts</w:t>
        </w:r>
        <w:r w:rsidR="007E378A">
          <w:rPr>
            <w:noProof/>
            <w:webHidden/>
          </w:rPr>
          <w:tab/>
        </w:r>
        <w:r w:rsidR="007E378A">
          <w:rPr>
            <w:noProof/>
            <w:webHidden/>
          </w:rPr>
          <w:fldChar w:fldCharType="begin"/>
        </w:r>
        <w:r w:rsidR="007E378A">
          <w:rPr>
            <w:noProof/>
            <w:webHidden/>
          </w:rPr>
          <w:instrText xml:space="preserve"> PAGEREF _Toc415488955 \h </w:instrText>
        </w:r>
        <w:r w:rsidR="007E378A">
          <w:rPr>
            <w:noProof/>
            <w:webHidden/>
          </w:rPr>
        </w:r>
        <w:r w:rsidR="007E378A">
          <w:rPr>
            <w:noProof/>
            <w:webHidden/>
          </w:rPr>
          <w:fldChar w:fldCharType="separate"/>
        </w:r>
        <w:r w:rsidR="007E378A">
          <w:rPr>
            <w:noProof/>
            <w:webHidden/>
          </w:rPr>
          <w:t>18</w:t>
        </w:r>
        <w:r w:rsidR="007E378A">
          <w:rPr>
            <w:noProof/>
            <w:webHidden/>
          </w:rPr>
          <w:fldChar w:fldCharType="end"/>
        </w:r>
      </w:hyperlink>
    </w:p>
    <w:p w14:paraId="7DEE386A" w14:textId="77777777" w:rsidR="007E378A" w:rsidRDefault="00891D9B">
      <w:pPr>
        <w:pStyle w:val="TOC3"/>
        <w:rPr>
          <w:rFonts w:asciiTheme="minorHAnsi" w:eastAsiaTheme="minorEastAsia" w:hAnsiTheme="minorHAnsi" w:cstheme="minorBidi"/>
          <w:noProof/>
          <w:sz w:val="22"/>
          <w:szCs w:val="22"/>
        </w:rPr>
      </w:pPr>
      <w:hyperlink w:anchor="_Toc415488956" w:history="1">
        <w:r w:rsidR="007E378A" w:rsidRPr="002A575B">
          <w:rPr>
            <w:rStyle w:val="Hyperlink"/>
            <w:noProof/>
          </w:rPr>
          <w:t>4.1.1 Average Hourly Load Impacts by Industry Group and LCA</w:t>
        </w:r>
        <w:r w:rsidR="007E378A">
          <w:rPr>
            <w:noProof/>
            <w:webHidden/>
          </w:rPr>
          <w:tab/>
        </w:r>
        <w:r w:rsidR="007E378A">
          <w:rPr>
            <w:noProof/>
            <w:webHidden/>
          </w:rPr>
          <w:fldChar w:fldCharType="begin"/>
        </w:r>
        <w:r w:rsidR="007E378A">
          <w:rPr>
            <w:noProof/>
            <w:webHidden/>
          </w:rPr>
          <w:instrText xml:space="preserve"> PAGEREF _Toc415488956 \h </w:instrText>
        </w:r>
        <w:r w:rsidR="007E378A">
          <w:rPr>
            <w:noProof/>
            <w:webHidden/>
          </w:rPr>
        </w:r>
        <w:r w:rsidR="007E378A">
          <w:rPr>
            <w:noProof/>
            <w:webHidden/>
          </w:rPr>
          <w:fldChar w:fldCharType="separate"/>
        </w:r>
        <w:r w:rsidR="007E378A">
          <w:rPr>
            <w:noProof/>
            <w:webHidden/>
          </w:rPr>
          <w:t>18</w:t>
        </w:r>
        <w:r w:rsidR="007E378A">
          <w:rPr>
            <w:noProof/>
            <w:webHidden/>
          </w:rPr>
          <w:fldChar w:fldCharType="end"/>
        </w:r>
      </w:hyperlink>
    </w:p>
    <w:p w14:paraId="36F724AF" w14:textId="77777777" w:rsidR="007E378A" w:rsidRDefault="00891D9B">
      <w:pPr>
        <w:pStyle w:val="TOC3"/>
        <w:rPr>
          <w:rFonts w:asciiTheme="minorHAnsi" w:eastAsiaTheme="minorEastAsia" w:hAnsiTheme="minorHAnsi" w:cstheme="minorBidi"/>
          <w:noProof/>
          <w:sz w:val="22"/>
          <w:szCs w:val="22"/>
        </w:rPr>
      </w:pPr>
      <w:hyperlink w:anchor="_Toc415488957" w:history="1">
        <w:r w:rsidR="007E378A" w:rsidRPr="002A575B">
          <w:rPr>
            <w:rStyle w:val="Hyperlink"/>
            <w:noProof/>
          </w:rPr>
          <w:t>4.1.2 Hourly Load Impacts</w:t>
        </w:r>
        <w:r w:rsidR="007E378A">
          <w:rPr>
            <w:noProof/>
            <w:webHidden/>
          </w:rPr>
          <w:tab/>
        </w:r>
        <w:r w:rsidR="007E378A">
          <w:rPr>
            <w:noProof/>
            <w:webHidden/>
          </w:rPr>
          <w:fldChar w:fldCharType="begin"/>
        </w:r>
        <w:r w:rsidR="007E378A">
          <w:rPr>
            <w:noProof/>
            <w:webHidden/>
          </w:rPr>
          <w:instrText xml:space="preserve"> PAGEREF _Toc415488957 \h </w:instrText>
        </w:r>
        <w:r w:rsidR="007E378A">
          <w:rPr>
            <w:noProof/>
            <w:webHidden/>
          </w:rPr>
        </w:r>
        <w:r w:rsidR="007E378A">
          <w:rPr>
            <w:noProof/>
            <w:webHidden/>
          </w:rPr>
          <w:fldChar w:fldCharType="separate"/>
        </w:r>
        <w:r w:rsidR="007E378A">
          <w:rPr>
            <w:noProof/>
            <w:webHidden/>
          </w:rPr>
          <w:t>20</w:t>
        </w:r>
        <w:r w:rsidR="007E378A">
          <w:rPr>
            <w:noProof/>
            <w:webHidden/>
          </w:rPr>
          <w:fldChar w:fldCharType="end"/>
        </w:r>
      </w:hyperlink>
    </w:p>
    <w:p w14:paraId="42470FE3"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58" w:history="1">
        <w:r w:rsidR="007E378A" w:rsidRPr="002A575B">
          <w:rPr>
            <w:rStyle w:val="Hyperlink"/>
            <w:noProof/>
          </w:rPr>
          <w:t>4.2 SCE Load Impacts</w:t>
        </w:r>
        <w:r w:rsidR="007E378A">
          <w:rPr>
            <w:noProof/>
            <w:webHidden/>
          </w:rPr>
          <w:tab/>
        </w:r>
        <w:r w:rsidR="007E378A">
          <w:rPr>
            <w:noProof/>
            <w:webHidden/>
          </w:rPr>
          <w:fldChar w:fldCharType="begin"/>
        </w:r>
        <w:r w:rsidR="007E378A">
          <w:rPr>
            <w:noProof/>
            <w:webHidden/>
          </w:rPr>
          <w:instrText xml:space="preserve"> PAGEREF _Toc415488958 \h </w:instrText>
        </w:r>
        <w:r w:rsidR="007E378A">
          <w:rPr>
            <w:noProof/>
            <w:webHidden/>
          </w:rPr>
        </w:r>
        <w:r w:rsidR="007E378A">
          <w:rPr>
            <w:noProof/>
            <w:webHidden/>
          </w:rPr>
          <w:fldChar w:fldCharType="separate"/>
        </w:r>
        <w:r w:rsidR="007E378A">
          <w:rPr>
            <w:noProof/>
            <w:webHidden/>
          </w:rPr>
          <w:t>24</w:t>
        </w:r>
        <w:r w:rsidR="007E378A">
          <w:rPr>
            <w:noProof/>
            <w:webHidden/>
          </w:rPr>
          <w:fldChar w:fldCharType="end"/>
        </w:r>
      </w:hyperlink>
    </w:p>
    <w:p w14:paraId="3B3947CA" w14:textId="77777777" w:rsidR="007E378A" w:rsidRDefault="00891D9B">
      <w:pPr>
        <w:pStyle w:val="TOC3"/>
        <w:rPr>
          <w:rFonts w:asciiTheme="minorHAnsi" w:eastAsiaTheme="minorEastAsia" w:hAnsiTheme="minorHAnsi" w:cstheme="minorBidi"/>
          <w:noProof/>
          <w:sz w:val="22"/>
          <w:szCs w:val="22"/>
        </w:rPr>
      </w:pPr>
      <w:hyperlink w:anchor="_Toc415488959" w:history="1">
        <w:r w:rsidR="007E378A" w:rsidRPr="002A575B">
          <w:rPr>
            <w:rStyle w:val="Hyperlink"/>
            <w:noProof/>
          </w:rPr>
          <w:t>4.2.1 Average Hourly Load Impacts by Industry Group and LCA</w:t>
        </w:r>
        <w:r w:rsidR="007E378A">
          <w:rPr>
            <w:noProof/>
            <w:webHidden/>
          </w:rPr>
          <w:tab/>
        </w:r>
        <w:r w:rsidR="007E378A">
          <w:rPr>
            <w:noProof/>
            <w:webHidden/>
          </w:rPr>
          <w:fldChar w:fldCharType="begin"/>
        </w:r>
        <w:r w:rsidR="007E378A">
          <w:rPr>
            <w:noProof/>
            <w:webHidden/>
          </w:rPr>
          <w:instrText xml:space="preserve"> PAGEREF _Toc415488959 \h </w:instrText>
        </w:r>
        <w:r w:rsidR="007E378A">
          <w:rPr>
            <w:noProof/>
            <w:webHidden/>
          </w:rPr>
        </w:r>
        <w:r w:rsidR="007E378A">
          <w:rPr>
            <w:noProof/>
            <w:webHidden/>
          </w:rPr>
          <w:fldChar w:fldCharType="separate"/>
        </w:r>
        <w:r w:rsidR="007E378A">
          <w:rPr>
            <w:noProof/>
            <w:webHidden/>
          </w:rPr>
          <w:t>24</w:t>
        </w:r>
        <w:r w:rsidR="007E378A">
          <w:rPr>
            <w:noProof/>
            <w:webHidden/>
          </w:rPr>
          <w:fldChar w:fldCharType="end"/>
        </w:r>
      </w:hyperlink>
    </w:p>
    <w:p w14:paraId="1F83DF6F" w14:textId="77777777" w:rsidR="007E378A" w:rsidRDefault="00891D9B">
      <w:pPr>
        <w:pStyle w:val="TOC3"/>
        <w:rPr>
          <w:rFonts w:asciiTheme="minorHAnsi" w:eastAsiaTheme="minorEastAsia" w:hAnsiTheme="minorHAnsi" w:cstheme="minorBidi"/>
          <w:noProof/>
          <w:sz w:val="22"/>
          <w:szCs w:val="22"/>
        </w:rPr>
      </w:pPr>
      <w:hyperlink w:anchor="_Toc415488960" w:history="1">
        <w:r w:rsidR="007E378A" w:rsidRPr="002A575B">
          <w:rPr>
            <w:rStyle w:val="Hyperlink"/>
            <w:noProof/>
          </w:rPr>
          <w:t>4.2.2 Hourly Load Impacts</w:t>
        </w:r>
        <w:r w:rsidR="007E378A">
          <w:rPr>
            <w:noProof/>
            <w:webHidden/>
          </w:rPr>
          <w:tab/>
        </w:r>
        <w:r w:rsidR="007E378A">
          <w:rPr>
            <w:noProof/>
            <w:webHidden/>
          </w:rPr>
          <w:fldChar w:fldCharType="begin"/>
        </w:r>
        <w:r w:rsidR="007E378A">
          <w:rPr>
            <w:noProof/>
            <w:webHidden/>
          </w:rPr>
          <w:instrText xml:space="preserve"> PAGEREF _Toc415488960 \h </w:instrText>
        </w:r>
        <w:r w:rsidR="007E378A">
          <w:rPr>
            <w:noProof/>
            <w:webHidden/>
          </w:rPr>
        </w:r>
        <w:r w:rsidR="007E378A">
          <w:rPr>
            <w:noProof/>
            <w:webHidden/>
          </w:rPr>
          <w:fldChar w:fldCharType="separate"/>
        </w:r>
        <w:r w:rsidR="007E378A">
          <w:rPr>
            <w:noProof/>
            <w:webHidden/>
          </w:rPr>
          <w:t>25</w:t>
        </w:r>
        <w:r w:rsidR="007E378A">
          <w:rPr>
            <w:noProof/>
            <w:webHidden/>
          </w:rPr>
          <w:fldChar w:fldCharType="end"/>
        </w:r>
      </w:hyperlink>
    </w:p>
    <w:p w14:paraId="211F7101"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61" w:history="1">
        <w:r w:rsidR="007E378A" w:rsidRPr="002A575B">
          <w:rPr>
            <w:rStyle w:val="Hyperlink"/>
            <w:noProof/>
          </w:rPr>
          <w:t>4.3 SDG&amp;E Load Impacts</w:t>
        </w:r>
        <w:r w:rsidR="007E378A">
          <w:rPr>
            <w:noProof/>
            <w:webHidden/>
          </w:rPr>
          <w:tab/>
        </w:r>
        <w:r w:rsidR="007E378A">
          <w:rPr>
            <w:noProof/>
            <w:webHidden/>
          </w:rPr>
          <w:fldChar w:fldCharType="begin"/>
        </w:r>
        <w:r w:rsidR="007E378A">
          <w:rPr>
            <w:noProof/>
            <w:webHidden/>
          </w:rPr>
          <w:instrText xml:space="preserve"> PAGEREF _Toc415488961 \h </w:instrText>
        </w:r>
        <w:r w:rsidR="007E378A">
          <w:rPr>
            <w:noProof/>
            <w:webHidden/>
          </w:rPr>
        </w:r>
        <w:r w:rsidR="007E378A">
          <w:rPr>
            <w:noProof/>
            <w:webHidden/>
          </w:rPr>
          <w:fldChar w:fldCharType="separate"/>
        </w:r>
        <w:r w:rsidR="007E378A">
          <w:rPr>
            <w:noProof/>
            <w:webHidden/>
          </w:rPr>
          <w:t>26</w:t>
        </w:r>
        <w:r w:rsidR="007E378A">
          <w:rPr>
            <w:noProof/>
            <w:webHidden/>
          </w:rPr>
          <w:fldChar w:fldCharType="end"/>
        </w:r>
      </w:hyperlink>
    </w:p>
    <w:p w14:paraId="4E3EF85F" w14:textId="77777777" w:rsidR="007E378A" w:rsidRDefault="00891D9B">
      <w:pPr>
        <w:pStyle w:val="TOC3"/>
        <w:rPr>
          <w:rFonts w:asciiTheme="minorHAnsi" w:eastAsiaTheme="minorEastAsia" w:hAnsiTheme="minorHAnsi" w:cstheme="minorBidi"/>
          <w:noProof/>
          <w:sz w:val="22"/>
          <w:szCs w:val="22"/>
        </w:rPr>
      </w:pPr>
      <w:hyperlink w:anchor="_Toc415488962" w:history="1">
        <w:r w:rsidR="007E378A" w:rsidRPr="002A575B">
          <w:rPr>
            <w:rStyle w:val="Hyperlink"/>
            <w:noProof/>
          </w:rPr>
          <w:t>4.3.1 Average Hourly Load Impacts</w:t>
        </w:r>
        <w:r w:rsidR="007E378A">
          <w:rPr>
            <w:noProof/>
            <w:webHidden/>
          </w:rPr>
          <w:tab/>
        </w:r>
        <w:r w:rsidR="007E378A">
          <w:rPr>
            <w:noProof/>
            <w:webHidden/>
          </w:rPr>
          <w:fldChar w:fldCharType="begin"/>
        </w:r>
        <w:r w:rsidR="007E378A">
          <w:rPr>
            <w:noProof/>
            <w:webHidden/>
          </w:rPr>
          <w:instrText xml:space="preserve"> PAGEREF _Toc415488962 \h </w:instrText>
        </w:r>
        <w:r w:rsidR="007E378A">
          <w:rPr>
            <w:noProof/>
            <w:webHidden/>
          </w:rPr>
        </w:r>
        <w:r w:rsidR="007E378A">
          <w:rPr>
            <w:noProof/>
            <w:webHidden/>
          </w:rPr>
          <w:fldChar w:fldCharType="separate"/>
        </w:r>
        <w:r w:rsidR="007E378A">
          <w:rPr>
            <w:noProof/>
            <w:webHidden/>
          </w:rPr>
          <w:t>26</w:t>
        </w:r>
        <w:r w:rsidR="007E378A">
          <w:rPr>
            <w:noProof/>
            <w:webHidden/>
          </w:rPr>
          <w:fldChar w:fldCharType="end"/>
        </w:r>
      </w:hyperlink>
    </w:p>
    <w:p w14:paraId="60CB3983" w14:textId="77777777" w:rsidR="007E378A" w:rsidRDefault="00891D9B">
      <w:pPr>
        <w:pStyle w:val="TOC3"/>
        <w:rPr>
          <w:rFonts w:asciiTheme="minorHAnsi" w:eastAsiaTheme="minorEastAsia" w:hAnsiTheme="minorHAnsi" w:cstheme="minorBidi"/>
          <w:noProof/>
          <w:sz w:val="22"/>
          <w:szCs w:val="22"/>
        </w:rPr>
      </w:pPr>
      <w:hyperlink w:anchor="_Toc415488963" w:history="1">
        <w:r w:rsidR="007E378A" w:rsidRPr="002A575B">
          <w:rPr>
            <w:rStyle w:val="Hyperlink"/>
            <w:noProof/>
          </w:rPr>
          <w:t>4.3.2 Hourly Load Impacts</w:t>
        </w:r>
        <w:r w:rsidR="007E378A">
          <w:rPr>
            <w:noProof/>
            <w:webHidden/>
          </w:rPr>
          <w:tab/>
        </w:r>
        <w:r w:rsidR="007E378A">
          <w:rPr>
            <w:noProof/>
            <w:webHidden/>
          </w:rPr>
          <w:fldChar w:fldCharType="begin"/>
        </w:r>
        <w:r w:rsidR="007E378A">
          <w:rPr>
            <w:noProof/>
            <w:webHidden/>
          </w:rPr>
          <w:instrText xml:space="preserve"> PAGEREF _Toc415488963 \h </w:instrText>
        </w:r>
        <w:r w:rsidR="007E378A">
          <w:rPr>
            <w:noProof/>
            <w:webHidden/>
          </w:rPr>
        </w:r>
        <w:r w:rsidR="007E378A">
          <w:rPr>
            <w:noProof/>
            <w:webHidden/>
          </w:rPr>
          <w:fldChar w:fldCharType="separate"/>
        </w:r>
        <w:r w:rsidR="007E378A">
          <w:rPr>
            <w:noProof/>
            <w:webHidden/>
          </w:rPr>
          <w:t>27</w:t>
        </w:r>
        <w:r w:rsidR="007E378A">
          <w:rPr>
            <w:noProof/>
            <w:webHidden/>
          </w:rPr>
          <w:fldChar w:fldCharType="end"/>
        </w:r>
      </w:hyperlink>
    </w:p>
    <w:p w14:paraId="6F6A5118" w14:textId="77777777" w:rsidR="007E378A" w:rsidRDefault="00891D9B">
      <w:pPr>
        <w:pStyle w:val="TOC1"/>
        <w:rPr>
          <w:rFonts w:asciiTheme="minorHAnsi" w:eastAsiaTheme="minorEastAsia" w:hAnsiTheme="minorHAnsi" w:cstheme="minorBidi"/>
          <w:b w:val="0"/>
          <w:noProof/>
          <w:sz w:val="22"/>
          <w:szCs w:val="22"/>
        </w:rPr>
      </w:pPr>
      <w:hyperlink w:anchor="_Toc415488964" w:history="1">
        <w:r w:rsidR="007E378A" w:rsidRPr="002A575B">
          <w:rPr>
            <w:rStyle w:val="Hyperlink"/>
            <w:noProof/>
          </w:rPr>
          <w:t>5. Ex Ante Load Impact Forecast</w:t>
        </w:r>
        <w:r w:rsidR="007E378A">
          <w:rPr>
            <w:noProof/>
            <w:webHidden/>
          </w:rPr>
          <w:tab/>
        </w:r>
        <w:r w:rsidR="007E378A">
          <w:rPr>
            <w:noProof/>
            <w:webHidden/>
          </w:rPr>
          <w:fldChar w:fldCharType="begin"/>
        </w:r>
        <w:r w:rsidR="007E378A">
          <w:rPr>
            <w:noProof/>
            <w:webHidden/>
          </w:rPr>
          <w:instrText xml:space="preserve"> PAGEREF _Toc415488964 \h </w:instrText>
        </w:r>
        <w:r w:rsidR="007E378A">
          <w:rPr>
            <w:noProof/>
            <w:webHidden/>
          </w:rPr>
        </w:r>
        <w:r w:rsidR="007E378A">
          <w:rPr>
            <w:noProof/>
            <w:webHidden/>
          </w:rPr>
          <w:fldChar w:fldCharType="separate"/>
        </w:r>
        <w:r w:rsidR="007E378A">
          <w:rPr>
            <w:noProof/>
            <w:webHidden/>
          </w:rPr>
          <w:t>29</w:t>
        </w:r>
        <w:r w:rsidR="007E378A">
          <w:rPr>
            <w:noProof/>
            <w:webHidden/>
          </w:rPr>
          <w:fldChar w:fldCharType="end"/>
        </w:r>
      </w:hyperlink>
    </w:p>
    <w:p w14:paraId="5CB6053F"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65" w:history="1">
        <w:r w:rsidR="007E378A" w:rsidRPr="002A575B">
          <w:rPr>
            <w:rStyle w:val="Hyperlink"/>
            <w:noProof/>
          </w:rPr>
          <w:t>5.1 Ex Ante Load Impact Requirements</w:t>
        </w:r>
        <w:r w:rsidR="007E378A">
          <w:rPr>
            <w:noProof/>
            <w:webHidden/>
          </w:rPr>
          <w:tab/>
        </w:r>
        <w:r w:rsidR="007E378A">
          <w:rPr>
            <w:noProof/>
            <w:webHidden/>
          </w:rPr>
          <w:fldChar w:fldCharType="begin"/>
        </w:r>
        <w:r w:rsidR="007E378A">
          <w:rPr>
            <w:noProof/>
            <w:webHidden/>
          </w:rPr>
          <w:instrText xml:space="preserve"> PAGEREF _Toc415488965 \h </w:instrText>
        </w:r>
        <w:r w:rsidR="007E378A">
          <w:rPr>
            <w:noProof/>
            <w:webHidden/>
          </w:rPr>
        </w:r>
        <w:r w:rsidR="007E378A">
          <w:rPr>
            <w:noProof/>
            <w:webHidden/>
          </w:rPr>
          <w:fldChar w:fldCharType="separate"/>
        </w:r>
        <w:r w:rsidR="007E378A">
          <w:rPr>
            <w:noProof/>
            <w:webHidden/>
          </w:rPr>
          <w:t>29</w:t>
        </w:r>
        <w:r w:rsidR="007E378A">
          <w:rPr>
            <w:noProof/>
            <w:webHidden/>
          </w:rPr>
          <w:fldChar w:fldCharType="end"/>
        </w:r>
      </w:hyperlink>
    </w:p>
    <w:p w14:paraId="4DF421B8"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66" w:history="1">
        <w:r w:rsidR="007E378A" w:rsidRPr="002A575B">
          <w:rPr>
            <w:rStyle w:val="Hyperlink"/>
            <w:noProof/>
          </w:rPr>
          <w:t>5.2 Description of Methods</w:t>
        </w:r>
        <w:r w:rsidR="007E378A">
          <w:rPr>
            <w:noProof/>
            <w:webHidden/>
          </w:rPr>
          <w:tab/>
        </w:r>
        <w:r w:rsidR="007E378A">
          <w:rPr>
            <w:noProof/>
            <w:webHidden/>
          </w:rPr>
          <w:fldChar w:fldCharType="begin"/>
        </w:r>
        <w:r w:rsidR="007E378A">
          <w:rPr>
            <w:noProof/>
            <w:webHidden/>
          </w:rPr>
          <w:instrText xml:space="preserve"> PAGEREF _Toc415488966 \h </w:instrText>
        </w:r>
        <w:r w:rsidR="007E378A">
          <w:rPr>
            <w:noProof/>
            <w:webHidden/>
          </w:rPr>
        </w:r>
        <w:r w:rsidR="007E378A">
          <w:rPr>
            <w:noProof/>
            <w:webHidden/>
          </w:rPr>
          <w:fldChar w:fldCharType="separate"/>
        </w:r>
        <w:r w:rsidR="007E378A">
          <w:rPr>
            <w:noProof/>
            <w:webHidden/>
          </w:rPr>
          <w:t>29</w:t>
        </w:r>
        <w:r w:rsidR="007E378A">
          <w:rPr>
            <w:noProof/>
            <w:webHidden/>
          </w:rPr>
          <w:fldChar w:fldCharType="end"/>
        </w:r>
      </w:hyperlink>
    </w:p>
    <w:p w14:paraId="29BE75E6" w14:textId="77777777" w:rsidR="007E378A" w:rsidRDefault="00891D9B">
      <w:pPr>
        <w:pStyle w:val="TOC3"/>
        <w:rPr>
          <w:rFonts w:asciiTheme="minorHAnsi" w:eastAsiaTheme="minorEastAsia" w:hAnsiTheme="minorHAnsi" w:cstheme="minorBidi"/>
          <w:noProof/>
          <w:sz w:val="22"/>
          <w:szCs w:val="22"/>
        </w:rPr>
      </w:pPr>
      <w:hyperlink w:anchor="_Toc415488967" w:history="1">
        <w:r w:rsidR="007E378A" w:rsidRPr="002A575B">
          <w:rPr>
            <w:rStyle w:val="Hyperlink"/>
            <w:noProof/>
          </w:rPr>
          <w:t>5.2.1 Development of Customer Groups</w:t>
        </w:r>
        <w:r w:rsidR="007E378A">
          <w:rPr>
            <w:noProof/>
            <w:webHidden/>
          </w:rPr>
          <w:tab/>
        </w:r>
        <w:r w:rsidR="007E378A">
          <w:rPr>
            <w:noProof/>
            <w:webHidden/>
          </w:rPr>
          <w:fldChar w:fldCharType="begin"/>
        </w:r>
        <w:r w:rsidR="007E378A">
          <w:rPr>
            <w:noProof/>
            <w:webHidden/>
          </w:rPr>
          <w:instrText xml:space="preserve"> PAGEREF _Toc415488967 \h </w:instrText>
        </w:r>
        <w:r w:rsidR="007E378A">
          <w:rPr>
            <w:noProof/>
            <w:webHidden/>
          </w:rPr>
        </w:r>
        <w:r w:rsidR="007E378A">
          <w:rPr>
            <w:noProof/>
            <w:webHidden/>
          </w:rPr>
          <w:fldChar w:fldCharType="separate"/>
        </w:r>
        <w:r w:rsidR="007E378A">
          <w:rPr>
            <w:noProof/>
            <w:webHidden/>
          </w:rPr>
          <w:t>29</w:t>
        </w:r>
        <w:r w:rsidR="007E378A">
          <w:rPr>
            <w:noProof/>
            <w:webHidden/>
          </w:rPr>
          <w:fldChar w:fldCharType="end"/>
        </w:r>
      </w:hyperlink>
    </w:p>
    <w:p w14:paraId="0ABDBB2B" w14:textId="77777777" w:rsidR="007E378A" w:rsidRDefault="00891D9B">
      <w:pPr>
        <w:pStyle w:val="TOC3"/>
        <w:rPr>
          <w:rFonts w:asciiTheme="minorHAnsi" w:eastAsiaTheme="minorEastAsia" w:hAnsiTheme="minorHAnsi" w:cstheme="minorBidi"/>
          <w:noProof/>
          <w:sz w:val="22"/>
          <w:szCs w:val="22"/>
        </w:rPr>
      </w:pPr>
      <w:hyperlink w:anchor="_Toc415488968" w:history="1">
        <w:r w:rsidR="007E378A" w:rsidRPr="002A575B">
          <w:rPr>
            <w:rStyle w:val="Hyperlink"/>
            <w:noProof/>
          </w:rPr>
          <w:t>5.2.2 Development of Reference Loads and Load Impacts</w:t>
        </w:r>
        <w:r w:rsidR="007E378A">
          <w:rPr>
            <w:noProof/>
            <w:webHidden/>
          </w:rPr>
          <w:tab/>
        </w:r>
        <w:r w:rsidR="007E378A">
          <w:rPr>
            <w:noProof/>
            <w:webHidden/>
          </w:rPr>
          <w:fldChar w:fldCharType="begin"/>
        </w:r>
        <w:r w:rsidR="007E378A">
          <w:rPr>
            <w:noProof/>
            <w:webHidden/>
          </w:rPr>
          <w:instrText xml:space="preserve"> PAGEREF _Toc415488968 \h </w:instrText>
        </w:r>
        <w:r w:rsidR="007E378A">
          <w:rPr>
            <w:noProof/>
            <w:webHidden/>
          </w:rPr>
        </w:r>
        <w:r w:rsidR="007E378A">
          <w:rPr>
            <w:noProof/>
            <w:webHidden/>
          </w:rPr>
          <w:fldChar w:fldCharType="separate"/>
        </w:r>
        <w:r w:rsidR="007E378A">
          <w:rPr>
            <w:noProof/>
            <w:webHidden/>
          </w:rPr>
          <w:t>30</w:t>
        </w:r>
        <w:r w:rsidR="007E378A">
          <w:rPr>
            <w:noProof/>
            <w:webHidden/>
          </w:rPr>
          <w:fldChar w:fldCharType="end"/>
        </w:r>
      </w:hyperlink>
    </w:p>
    <w:p w14:paraId="2BC22675"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69" w:history="1">
        <w:r w:rsidR="007E378A" w:rsidRPr="002A575B">
          <w:rPr>
            <w:rStyle w:val="Hyperlink"/>
            <w:noProof/>
          </w:rPr>
          <w:t>5.3 Enrollment Forecasts</w:t>
        </w:r>
        <w:r w:rsidR="007E378A">
          <w:rPr>
            <w:noProof/>
            <w:webHidden/>
          </w:rPr>
          <w:tab/>
        </w:r>
        <w:r w:rsidR="007E378A">
          <w:rPr>
            <w:noProof/>
            <w:webHidden/>
          </w:rPr>
          <w:fldChar w:fldCharType="begin"/>
        </w:r>
        <w:r w:rsidR="007E378A">
          <w:rPr>
            <w:noProof/>
            <w:webHidden/>
          </w:rPr>
          <w:instrText xml:space="preserve"> PAGEREF _Toc415488969 \h </w:instrText>
        </w:r>
        <w:r w:rsidR="007E378A">
          <w:rPr>
            <w:noProof/>
            <w:webHidden/>
          </w:rPr>
        </w:r>
        <w:r w:rsidR="007E378A">
          <w:rPr>
            <w:noProof/>
            <w:webHidden/>
          </w:rPr>
          <w:fldChar w:fldCharType="separate"/>
        </w:r>
        <w:r w:rsidR="007E378A">
          <w:rPr>
            <w:noProof/>
            <w:webHidden/>
          </w:rPr>
          <w:t>34</w:t>
        </w:r>
        <w:r w:rsidR="007E378A">
          <w:rPr>
            <w:noProof/>
            <w:webHidden/>
          </w:rPr>
          <w:fldChar w:fldCharType="end"/>
        </w:r>
      </w:hyperlink>
    </w:p>
    <w:p w14:paraId="524A1511"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70" w:history="1">
        <w:r w:rsidR="007E378A" w:rsidRPr="002A575B">
          <w:rPr>
            <w:rStyle w:val="Hyperlink"/>
            <w:noProof/>
          </w:rPr>
          <w:t>5.4 Reference Loads and Load Impacts</w:t>
        </w:r>
        <w:r w:rsidR="007E378A">
          <w:rPr>
            <w:noProof/>
            <w:webHidden/>
          </w:rPr>
          <w:tab/>
        </w:r>
        <w:r w:rsidR="007E378A">
          <w:rPr>
            <w:noProof/>
            <w:webHidden/>
          </w:rPr>
          <w:fldChar w:fldCharType="begin"/>
        </w:r>
        <w:r w:rsidR="007E378A">
          <w:rPr>
            <w:noProof/>
            <w:webHidden/>
          </w:rPr>
          <w:instrText xml:space="preserve"> PAGEREF _Toc415488970 \h </w:instrText>
        </w:r>
        <w:r w:rsidR="007E378A">
          <w:rPr>
            <w:noProof/>
            <w:webHidden/>
          </w:rPr>
        </w:r>
        <w:r w:rsidR="007E378A">
          <w:rPr>
            <w:noProof/>
            <w:webHidden/>
          </w:rPr>
          <w:fldChar w:fldCharType="separate"/>
        </w:r>
        <w:r w:rsidR="007E378A">
          <w:rPr>
            <w:noProof/>
            <w:webHidden/>
          </w:rPr>
          <w:t>35</w:t>
        </w:r>
        <w:r w:rsidR="007E378A">
          <w:rPr>
            <w:noProof/>
            <w:webHidden/>
          </w:rPr>
          <w:fldChar w:fldCharType="end"/>
        </w:r>
      </w:hyperlink>
    </w:p>
    <w:p w14:paraId="7F1720B6" w14:textId="77777777" w:rsidR="007E378A" w:rsidRDefault="00891D9B">
      <w:pPr>
        <w:pStyle w:val="TOC3"/>
        <w:rPr>
          <w:rFonts w:asciiTheme="minorHAnsi" w:eastAsiaTheme="minorEastAsia" w:hAnsiTheme="minorHAnsi" w:cstheme="minorBidi"/>
          <w:noProof/>
          <w:sz w:val="22"/>
          <w:szCs w:val="22"/>
        </w:rPr>
      </w:pPr>
      <w:hyperlink w:anchor="_Toc415488971" w:history="1">
        <w:r w:rsidR="007E378A" w:rsidRPr="002A575B">
          <w:rPr>
            <w:rStyle w:val="Hyperlink"/>
            <w:noProof/>
          </w:rPr>
          <w:t>5.4.1 PG&amp;E</w:t>
        </w:r>
        <w:r w:rsidR="007E378A">
          <w:rPr>
            <w:noProof/>
            <w:webHidden/>
          </w:rPr>
          <w:tab/>
        </w:r>
        <w:r w:rsidR="007E378A">
          <w:rPr>
            <w:noProof/>
            <w:webHidden/>
          </w:rPr>
          <w:fldChar w:fldCharType="begin"/>
        </w:r>
        <w:r w:rsidR="007E378A">
          <w:rPr>
            <w:noProof/>
            <w:webHidden/>
          </w:rPr>
          <w:instrText xml:space="preserve"> PAGEREF _Toc415488971 \h </w:instrText>
        </w:r>
        <w:r w:rsidR="007E378A">
          <w:rPr>
            <w:noProof/>
            <w:webHidden/>
          </w:rPr>
        </w:r>
        <w:r w:rsidR="007E378A">
          <w:rPr>
            <w:noProof/>
            <w:webHidden/>
          </w:rPr>
          <w:fldChar w:fldCharType="separate"/>
        </w:r>
        <w:r w:rsidR="007E378A">
          <w:rPr>
            <w:noProof/>
            <w:webHidden/>
          </w:rPr>
          <w:t>35</w:t>
        </w:r>
        <w:r w:rsidR="007E378A">
          <w:rPr>
            <w:noProof/>
            <w:webHidden/>
          </w:rPr>
          <w:fldChar w:fldCharType="end"/>
        </w:r>
      </w:hyperlink>
    </w:p>
    <w:p w14:paraId="354EE9C4" w14:textId="77777777" w:rsidR="007E378A" w:rsidRDefault="00891D9B">
      <w:pPr>
        <w:pStyle w:val="TOC3"/>
        <w:rPr>
          <w:rFonts w:asciiTheme="minorHAnsi" w:eastAsiaTheme="minorEastAsia" w:hAnsiTheme="minorHAnsi" w:cstheme="minorBidi"/>
          <w:noProof/>
          <w:sz w:val="22"/>
          <w:szCs w:val="22"/>
        </w:rPr>
      </w:pPr>
      <w:hyperlink w:anchor="_Toc415488972" w:history="1">
        <w:r w:rsidR="007E378A" w:rsidRPr="002A575B">
          <w:rPr>
            <w:rStyle w:val="Hyperlink"/>
            <w:noProof/>
          </w:rPr>
          <w:t>5.4.2 SCE</w:t>
        </w:r>
        <w:r w:rsidR="007E378A">
          <w:rPr>
            <w:noProof/>
            <w:webHidden/>
          </w:rPr>
          <w:tab/>
        </w:r>
        <w:r w:rsidR="007E378A">
          <w:rPr>
            <w:noProof/>
            <w:webHidden/>
          </w:rPr>
          <w:fldChar w:fldCharType="begin"/>
        </w:r>
        <w:r w:rsidR="007E378A">
          <w:rPr>
            <w:noProof/>
            <w:webHidden/>
          </w:rPr>
          <w:instrText xml:space="preserve"> PAGEREF _Toc415488972 \h </w:instrText>
        </w:r>
        <w:r w:rsidR="007E378A">
          <w:rPr>
            <w:noProof/>
            <w:webHidden/>
          </w:rPr>
        </w:r>
        <w:r w:rsidR="007E378A">
          <w:rPr>
            <w:noProof/>
            <w:webHidden/>
          </w:rPr>
          <w:fldChar w:fldCharType="separate"/>
        </w:r>
        <w:r w:rsidR="007E378A">
          <w:rPr>
            <w:noProof/>
            <w:webHidden/>
          </w:rPr>
          <w:t>38</w:t>
        </w:r>
        <w:r w:rsidR="007E378A">
          <w:rPr>
            <w:noProof/>
            <w:webHidden/>
          </w:rPr>
          <w:fldChar w:fldCharType="end"/>
        </w:r>
      </w:hyperlink>
    </w:p>
    <w:p w14:paraId="2F6AE397" w14:textId="77777777" w:rsidR="007E378A" w:rsidRDefault="00891D9B">
      <w:pPr>
        <w:pStyle w:val="TOC3"/>
        <w:rPr>
          <w:rFonts w:asciiTheme="minorHAnsi" w:eastAsiaTheme="minorEastAsia" w:hAnsiTheme="minorHAnsi" w:cstheme="minorBidi"/>
          <w:noProof/>
          <w:sz w:val="22"/>
          <w:szCs w:val="22"/>
        </w:rPr>
      </w:pPr>
      <w:hyperlink w:anchor="_Toc415488973" w:history="1">
        <w:r w:rsidR="007E378A" w:rsidRPr="002A575B">
          <w:rPr>
            <w:rStyle w:val="Hyperlink"/>
            <w:noProof/>
          </w:rPr>
          <w:t>5.4.3 SDG&amp;E</w:t>
        </w:r>
        <w:r w:rsidR="007E378A">
          <w:rPr>
            <w:noProof/>
            <w:webHidden/>
          </w:rPr>
          <w:tab/>
        </w:r>
        <w:r w:rsidR="007E378A">
          <w:rPr>
            <w:noProof/>
            <w:webHidden/>
          </w:rPr>
          <w:fldChar w:fldCharType="begin"/>
        </w:r>
        <w:r w:rsidR="007E378A">
          <w:rPr>
            <w:noProof/>
            <w:webHidden/>
          </w:rPr>
          <w:instrText xml:space="preserve"> PAGEREF _Toc415488973 \h </w:instrText>
        </w:r>
        <w:r w:rsidR="007E378A">
          <w:rPr>
            <w:noProof/>
            <w:webHidden/>
          </w:rPr>
        </w:r>
        <w:r w:rsidR="007E378A">
          <w:rPr>
            <w:noProof/>
            <w:webHidden/>
          </w:rPr>
          <w:fldChar w:fldCharType="separate"/>
        </w:r>
        <w:r w:rsidR="007E378A">
          <w:rPr>
            <w:noProof/>
            <w:webHidden/>
          </w:rPr>
          <w:t>42</w:t>
        </w:r>
        <w:r w:rsidR="007E378A">
          <w:rPr>
            <w:noProof/>
            <w:webHidden/>
          </w:rPr>
          <w:fldChar w:fldCharType="end"/>
        </w:r>
      </w:hyperlink>
    </w:p>
    <w:p w14:paraId="32A9D419" w14:textId="77777777" w:rsidR="007E378A" w:rsidRDefault="00891D9B">
      <w:pPr>
        <w:pStyle w:val="TOC1"/>
        <w:rPr>
          <w:rFonts w:asciiTheme="minorHAnsi" w:eastAsiaTheme="minorEastAsia" w:hAnsiTheme="minorHAnsi" w:cstheme="minorBidi"/>
          <w:b w:val="0"/>
          <w:noProof/>
          <w:sz w:val="22"/>
          <w:szCs w:val="22"/>
        </w:rPr>
      </w:pPr>
      <w:hyperlink w:anchor="_Toc415488974" w:history="1">
        <w:r w:rsidR="007E378A" w:rsidRPr="002A575B">
          <w:rPr>
            <w:rStyle w:val="Hyperlink"/>
            <w:noProof/>
          </w:rPr>
          <w:t>6. Comparisons of Results</w:t>
        </w:r>
        <w:r w:rsidR="007E378A">
          <w:rPr>
            <w:noProof/>
            <w:webHidden/>
          </w:rPr>
          <w:tab/>
        </w:r>
        <w:r w:rsidR="007E378A">
          <w:rPr>
            <w:noProof/>
            <w:webHidden/>
          </w:rPr>
          <w:fldChar w:fldCharType="begin"/>
        </w:r>
        <w:r w:rsidR="007E378A">
          <w:rPr>
            <w:noProof/>
            <w:webHidden/>
          </w:rPr>
          <w:instrText xml:space="preserve"> PAGEREF _Toc415488974 \h </w:instrText>
        </w:r>
        <w:r w:rsidR="007E378A">
          <w:rPr>
            <w:noProof/>
            <w:webHidden/>
          </w:rPr>
        </w:r>
        <w:r w:rsidR="007E378A">
          <w:rPr>
            <w:noProof/>
            <w:webHidden/>
          </w:rPr>
          <w:fldChar w:fldCharType="separate"/>
        </w:r>
        <w:r w:rsidR="007E378A">
          <w:rPr>
            <w:noProof/>
            <w:webHidden/>
          </w:rPr>
          <w:t>44</w:t>
        </w:r>
        <w:r w:rsidR="007E378A">
          <w:rPr>
            <w:noProof/>
            <w:webHidden/>
          </w:rPr>
          <w:fldChar w:fldCharType="end"/>
        </w:r>
      </w:hyperlink>
    </w:p>
    <w:p w14:paraId="383A9E6C"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75" w:history="1">
        <w:r w:rsidR="007E378A" w:rsidRPr="002A575B">
          <w:rPr>
            <w:rStyle w:val="Hyperlink"/>
            <w:noProof/>
          </w:rPr>
          <w:t>6.1 PG&amp;E</w:t>
        </w:r>
        <w:r w:rsidR="007E378A">
          <w:rPr>
            <w:noProof/>
            <w:webHidden/>
          </w:rPr>
          <w:tab/>
        </w:r>
        <w:r w:rsidR="007E378A">
          <w:rPr>
            <w:noProof/>
            <w:webHidden/>
          </w:rPr>
          <w:fldChar w:fldCharType="begin"/>
        </w:r>
        <w:r w:rsidR="007E378A">
          <w:rPr>
            <w:noProof/>
            <w:webHidden/>
          </w:rPr>
          <w:instrText xml:space="preserve"> PAGEREF _Toc415488975 \h </w:instrText>
        </w:r>
        <w:r w:rsidR="007E378A">
          <w:rPr>
            <w:noProof/>
            <w:webHidden/>
          </w:rPr>
        </w:r>
        <w:r w:rsidR="007E378A">
          <w:rPr>
            <w:noProof/>
            <w:webHidden/>
          </w:rPr>
          <w:fldChar w:fldCharType="separate"/>
        </w:r>
        <w:r w:rsidR="007E378A">
          <w:rPr>
            <w:noProof/>
            <w:webHidden/>
          </w:rPr>
          <w:t>44</w:t>
        </w:r>
        <w:r w:rsidR="007E378A">
          <w:rPr>
            <w:noProof/>
            <w:webHidden/>
          </w:rPr>
          <w:fldChar w:fldCharType="end"/>
        </w:r>
      </w:hyperlink>
    </w:p>
    <w:p w14:paraId="3BDC58D2" w14:textId="77777777" w:rsidR="007E378A" w:rsidRDefault="00891D9B">
      <w:pPr>
        <w:pStyle w:val="TOC3"/>
        <w:rPr>
          <w:rFonts w:asciiTheme="minorHAnsi" w:eastAsiaTheme="minorEastAsia" w:hAnsiTheme="minorHAnsi" w:cstheme="minorBidi"/>
          <w:noProof/>
          <w:sz w:val="22"/>
          <w:szCs w:val="22"/>
        </w:rPr>
      </w:pPr>
      <w:hyperlink w:anchor="_Toc415488976" w:history="1">
        <w:r w:rsidR="007E378A" w:rsidRPr="002A575B">
          <w:rPr>
            <w:rStyle w:val="Hyperlink"/>
            <w:noProof/>
          </w:rPr>
          <w:t>6.1.1 Previous versus current ex post</w:t>
        </w:r>
        <w:r w:rsidR="007E378A">
          <w:rPr>
            <w:noProof/>
            <w:webHidden/>
          </w:rPr>
          <w:tab/>
        </w:r>
        <w:r w:rsidR="007E378A">
          <w:rPr>
            <w:noProof/>
            <w:webHidden/>
          </w:rPr>
          <w:fldChar w:fldCharType="begin"/>
        </w:r>
        <w:r w:rsidR="007E378A">
          <w:rPr>
            <w:noProof/>
            <w:webHidden/>
          </w:rPr>
          <w:instrText xml:space="preserve"> PAGEREF _Toc415488976 \h </w:instrText>
        </w:r>
        <w:r w:rsidR="007E378A">
          <w:rPr>
            <w:noProof/>
            <w:webHidden/>
          </w:rPr>
        </w:r>
        <w:r w:rsidR="007E378A">
          <w:rPr>
            <w:noProof/>
            <w:webHidden/>
          </w:rPr>
          <w:fldChar w:fldCharType="separate"/>
        </w:r>
        <w:r w:rsidR="007E378A">
          <w:rPr>
            <w:noProof/>
            <w:webHidden/>
          </w:rPr>
          <w:t>44</w:t>
        </w:r>
        <w:r w:rsidR="007E378A">
          <w:rPr>
            <w:noProof/>
            <w:webHidden/>
          </w:rPr>
          <w:fldChar w:fldCharType="end"/>
        </w:r>
      </w:hyperlink>
    </w:p>
    <w:p w14:paraId="0F4843FD" w14:textId="77777777" w:rsidR="007E378A" w:rsidRDefault="00891D9B">
      <w:pPr>
        <w:pStyle w:val="TOC3"/>
        <w:rPr>
          <w:rFonts w:asciiTheme="minorHAnsi" w:eastAsiaTheme="minorEastAsia" w:hAnsiTheme="minorHAnsi" w:cstheme="minorBidi"/>
          <w:noProof/>
          <w:sz w:val="22"/>
          <w:szCs w:val="22"/>
        </w:rPr>
      </w:pPr>
      <w:hyperlink w:anchor="_Toc415488977" w:history="1">
        <w:r w:rsidR="007E378A" w:rsidRPr="002A575B">
          <w:rPr>
            <w:rStyle w:val="Hyperlink"/>
            <w:noProof/>
          </w:rPr>
          <w:t>6.1.2 Previous versus current ex ante</w:t>
        </w:r>
        <w:r w:rsidR="007E378A">
          <w:rPr>
            <w:noProof/>
            <w:webHidden/>
          </w:rPr>
          <w:tab/>
        </w:r>
        <w:r w:rsidR="007E378A">
          <w:rPr>
            <w:noProof/>
            <w:webHidden/>
          </w:rPr>
          <w:fldChar w:fldCharType="begin"/>
        </w:r>
        <w:r w:rsidR="007E378A">
          <w:rPr>
            <w:noProof/>
            <w:webHidden/>
          </w:rPr>
          <w:instrText xml:space="preserve"> PAGEREF _Toc415488977 \h </w:instrText>
        </w:r>
        <w:r w:rsidR="007E378A">
          <w:rPr>
            <w:noProof/>
            <w:webHidden/>
          </w:rPr>
        </w:r>
        <w:r w:rsidR="007E378A">
          <w:rPr>
            <w:noProof/>
            <w:webHidden/>
          </w:rPr>
          <w:fldChar w:fldCharType="separate"/>
        </w:r>
        <w:r w:rsidR="007E378A">
          <w:rPr>
            <w:noProof/>
            <w:webHidden/>
          </w:rPr>
          <w:t>44</w:t>
        </w:r>
        <w:r w:rsidR="007E378A">
          <w:rPr>
            <w:noProof/>
            <w:webHidden/>
          </w:rPr>
          <w:fldChar w:fldCharType="end"/>
        </w:r>
      </w:hyperlink>
    </w:p>
    <w:p w14:paraId="6264F043" w14:textId="77777777" w:rsidR="007E378A" w:rsidRDefault="00891D9B">
      <w:pPr>
        <w:pStyle w:val="TOC3"/>
        <w:rPr>
          <w:rFonts w:asciiTheme="minorHAnsi" w:eastAsiaTheme="minorEastAsia" w:hAnsiTheme="minorHAnsi" w:cstheme="minorBidi"/>
          <w:noProof/>
          <w:sz w:val="22"/>
          <w:szCs w:val="22"/>
        </w:rPr>
      </w:pPr>
      <w:hyperlink w:anchor="_Toc415488978" w:history="1">
        <w:r w:rsidR="007E378A" w:rsidRPr="002A575B">
          <w:rPr>
            <w:rStyle w:val="Hyperlink"/>
            <w:noProof/>
          </w:rPr>
          <w:t>6.1.3 Previous ex ante versus current ex post</w:t>
        </w:r>
        <w:r w:rsidR="007E378A">
          <w:rPr>
            <w:noProof/>
            <w:webHidden/>
          </w:rPr>
          <w:tab/>
        </w:r>
        <w:r w:rsidR="007E378A">
          <w:rPr>
            <w:noProof/>
            <w:webHidden/>
          </w:rPr>
          <w:fldChar w:fldCharType="begin"/>
        </w:r>
        <w:r w:rsidR="007E378A">
          <w:rPr>
            <w:noProof/>
            <w:webHidden/>
          </w:rPr>
          <w:instrText xml:space="preserve"> PAGEREF _Toc415488978 \h </w:instrText>
        </w:r>
        <w:r w:rsidR="007E378A">
          <w:rPr>
            <w:noProof/>
            <w:webHidden/>
          </w:rPr>
        </w:r>
        <w:r w:rsidR="007E378A">
          <w:rPr>
            <w:noProof/>
            <w:webHidden/>
          </w:rPr>
          <w:fldChar w:fldCharType="separate"/>
        </w:r>
        <w:r w:rsidR="007E378A">
          <w:rPr>
            <w:noProof/>
            <w:webHidden/>
          </w:rPr>
          <w:t>45</w:t>
        </w:r>
        <w:r w:rsidR="007E378A">
          <w:rPr>
            <w:noProof/>
            <w:webHidden/>
          </w:rPr>
          <w:fldChar w:fldCharType="end"/>
        </w:r>
      </w:hyperlink>
    </w:p>
    <w:p w14:paraId="556232C0" w14:textId="77777777" w:rsidR="007E378A" w:rsidRDefault="00891D9B">
      <w:pPr>
        <w:pStyle w:val="TOC3"/>
        <w:rPr>
          <w:rFonts w:asciiTheme="minorHAnsi" w:eastAsiaTheme="minorEastAsia" w:hAnsiTheme="minorHAnsi" w:cstheme="minorBidi"/>
          <w:noProof/>
          <w:sz w:val="22"/>
          <w:szCs w:val="22"/>
        </w:rPr>
      </w:pPr>
      <w:hyperlink w:anchor="_Toc415488979" w:history="1">
        <w:r w:rsidR="007E378A" w:rsidRPr="002A575B">
          <w:rPr>
            <w:rStyle w:val="Hyperlink"/>
            <w:noProof/>
          </w:rPr>
          <w:t>6.1.4 Current ex post versus current ex ante</w:t>
        </w:r>
        <w:r w:rsidR="007E378A">
          <w:rPr>
            <w:noProof/>
            <w:webHidden/>
          </w:rPr>
          <w:tab/>
        </w:r>
        <w:r w:rsidR="007E378A">
          <w:rPr>
            <w:noProof/>
            <w:webHidden/>
          </w:rPr>
          <w:fldChar w:fldCharType="begin"/>
        </w:r>
        <w:r w:rsidR="007E378A">
          <w:rPr>
            <w:noProof/>
            <w:webHidden/>
          </w:rPr>
          <w:instrText xml:space="preserve"> PAGEREF _Toc415488979 \h </w:instrText>
        </w:r>
        <w:r w:rsidR="007E378A">
          <w:rPr>
            <w:noProof/>
            <w:webHidden/>
          </w:rPr>
        </w:r>
        <w:r w:rsidR="007E378A">
          <w:rPr>
            <w:noProof/>
            <w:webHidden/>
          </w:rPr>
          <w:fldChar w:fldCharType="separate"/>
        </w:r>
        <w:r w:rsidR="007E378A">
          <w:rPr>
            <w:noProof/>
            <w:webHidden/>
          </w:rPr>
          <w:t>46</w:t>
        </w:r>
        <w:r w:rsidR="007E378A">
          <w:rPr>
            <w:noProof/>
            <w:webHidden/>
          </w:rPr>
          <w:fldChar w:fldCharType="end"/>
        </w:r>
      </w:hyperlink>
    </w:p>
    <w:p w14:paraId="3341C59E"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80" w:history="1">
        <w:r w:rsidR="007E378A" w:rsidRPr="002A575B">
          <w:rPr>
            <w:rStyle w:val="Hyperlink"/>
            <w:noProof/>
          </w:rPr>
          <w:t>6.2 SCE</w:t>
        </w:r>
        <w:r w:rsidR="007E378A">
          <w:rPr>
            <w:noProof/>
            <w:webHidden/>
          </w:rPr>
          <w:tab/>
        </w:r>
        <w:r w:rsidR="007E378A">
          <w:rPr>
            <w:noProof/>
            <w:webHidden/>
          </w:rPr>
          <w:fldChar w:fldCharType="begin"/>
        </w:r>
        <w:r w:rsidR="007E378A">
          <w:rPr>
            <w:noProof/>
            <w:webHidden/>
          </w:rPr>
          <w:instrText xml:space="preserve"> PAGEREF _Toc415488980 \h </w:instrText>
        </w:r>
        <w:r w:rsidR="007E378A">
          <w:rPr>
            <w:noProof/>
            <w:webHidden/>
          </w:rPr>
        </w:r>
        <w:r w:rsidR="007E378A">
          <w:rPr>
            <w:noProof/>
            <w:webHidden/>
          </w:rPr>
          <w:fldChar w:fldCharType="separate"/>
        </w:r>
        <w:r w:rsidR="007E378A">
          <w:rPr>
            <w:noProof/>
            <w:webHidden/>
          </w:rPr>
          <w:t>47</w:t>
        </w:r>
        <w:r w:rsidR="007E378A">
          <w:rPr>
            <w:noProof/>
            <w:webHidden/>
          </w:rPr>
          <w:fldChar w:fldCharType="end"/>
        </w:r>
      </w:hyperlink>
    </w:p>
    <w:p w14:paraId="7D471E61" w14:textId="77777777" w:rsidR="007E378A" w:rsidRDefault="00891D9B">
      <w:pPr>
        <w:pStyle w:val="TOC3"/>
        <w:rPr>
          <w:rFonts w:asciiTheme="minorHAnsi" w:eastAsiaTheme="minorEastAsia" w:hAnsiTheme="minorHAnsi" w:cstheme="minorBidi"/>
          <w:noProof/>
          <w:sz w:val="22"/>
          <w:szCs w:val="22"/>
        </w:rPr>
      </w:pPr>
      <w:hyperlink w:anchor="_Toc415488981" w:history="1">
        <w:r w:rsidR="007E378A" w:rsidRPr="002A575B">
          <w:rPr>
            <w:rStyle w:val="Hyperlink"/>
            <w:noProof/>
          </w:rPr>
          <w:t>6.2.1 Previous versus current ex post</w:t>
        </w:r>
        <w:r w:rsidR="007E378A">
          <w:rPr>
            <w:noProof/>
            <w:webHidden/>
          </w:rPr>
          <w:tab/>
        </w:r>
        <w:r w:rsidR="007E378A">
          <w:rPr>
            <w:noProof/>
            <w:webHidden/>
          </w:rPr>
          <w:fldChar w:fldCharType="begin"/>
        </w:r>
        <w:r w:rsidR="007E378A">
          <w:rPr>
            <w:noProof/>
            <w:webHidden/>
          </w:rPr>
          <w:instrText xml:space="preserve"> PAGEREF _Toc415488981 \h </w:instrText>
        </w:r>
        <w:r w:rsidR="007E378A">
          <w:rPr>
            <w:noProof/>
            <w:webHidden/>
          </w:rPr>
        </w:r>
        <w:r w:rsidR="007E378A">
          <w:rPr>
            <w:noProof/>
            <w:webHidden/>
          </w:rPr>
          <w:fldChar w:fldCharType="separate"/>
        </w:r>
        <w:r w:rsidR="007E378A">
          <w:rPr>
            <w:noProof/>
            <w:webHidden/>
          </w:rPr>
          <w:t>47</w:t>
        </w:r>
        <w:r w:rsidR="007E378A">
          <w:rPr>
            <w:noProof/>
            <w:webHidden/>
          </w:rPr>
          <w:fldChar w:fldCharType="end"/>
        </w:r>
      </w:hyperlink>
    </w:p>
    <w:p w14:paraId="2C65633B" w14:textId="77777777" w:rsidR="007E378A" w:rsidRDefault="00891D9B">
      <w:pPr>
        <w:pStyle w:val="TOC3"/>
        <w:rPr>
          <w:rFonts w:asciiTheme="minorHAnsi" w:eastAsiaTheme="minorEastAsia" w:hAnsiTheme="minorHAnsi" w:cstheme="minorBidi"/>
          <w:noProof/>
          <w:sz w:val="22"/>
          <w:szCs w:val="22"/>
        </w:rPr>
      </w:pPr>
      <w:hyperlink w:anchor="_Toc415488982" w:history="1">
        <w:r w:rsidR="007E378A" w:rsidRPr="002A575B">
          <w:rPr>
            <w:rStyle w:val="Hyperlink"/>
            <w:noProof/>
          </w:rPr>
          <w:t>6.2.2 Previous versus current ex ante</w:t>
        </w:r>
        <w:r w:rsidR="007E378A">
          <w:rPr>
            <w:noProof/>
            <w:webHidden/>
          </w:rPr>
          <w:tab/>
        </w:r>
        <w:r w:rsidR="007E378A">
          <w:rPr>
            <w:noProof/>
            <w:webHidden/>
          </w:rPr>
          <w:fldChar w:fldCharType="begin"/>
        </w:r>
        <w:r w:rsidR="007E378A">
          <w:rPr>
            <w:noProof/>
            <w:webHidden/>
          </w:rPr>
          <w:instrText xml:space="preserve"> PAGEREF _Toc415488982 \h </w:instrText>
        </w:r>
        <w:r w:rsidR="007E378A">
          <w:rPr>
            <w:noProof/>
            <w:webHidden/>
          </w:rPr>
        </w:r>
        <w:r w:rsidR="007E378A">
          <w:rPr>
            <w:noProof/>
            <w:webHidden/>
          </w:rPr>
          <w:fldChar w:fldCharType="separate"/>
        </w:r>
        <w:r w:rsidR="007E378A">
          <w:rPr>
            <w:noProof/>
            <w:webHidden/>
          </w:rPr>
          <w:t>48</w:t>
        </w:r>
        <w:r w:rsidR="007E378A">
          <w:rPr>
            <w:noProof/>
            <w:webHidden/>
          </w:rPr>
          <w:fldChar w:fldCharType="end"/>
        </w:r>
      </w:hyperlink>
    </w:p>
    <w:p w14:paraId="489C88CD" w14:textId="77777777" w:rsidR="007E378A" w:rsidRDefault="00891D9B">
      <w:pPr>
        <w:pStyle w:val="TOC3"/>
        <w:rPr>
          <w:rFonts w:asciiTheme="minorHAnsi" w:eastAsiaTheme="minorEastAsia" w:hAnsiTheme="minorHAnsi" w:cstheme="minorBidi"/>
          <w:noProof/>
          <w:sz w:val="22"/>
          <w:szCs w:val="22"/>
        </w:rPr>
      </w:pPr>
      <w:hyperlink w:anchor="_Toc415488983" w:history="1">
        <w:r w:rsidR="007E378A" w:rsidRPr="002A575B">
          <w:rPr>
            <w:rStyle w:val="Hyperlink"/>
            <w:noProof/>
          </w:rPr>
          <w:t>6.2.3 Previous ex ante versus current ex post</w:t>
        </w:r>
        <w:r w:rsidR="007E378A">
          <w:rPr>
            <w:noProof/>
            <w:webHidden/>
          </w:rPr>
          <w:tab/>
        </w:r>
        <w:r w:rsidR="007E378A">
          <w:rPr>
            <w:noProof/>
            <w:webHidden/>
          </w:rPr>
          <w:fldChar w:fldCharType="begin"/>
        </w:r>
        <w:r w:rsidR="007E378A">
          <w:rPr>
            <w:noProof/>
            <w:webHidden/>
          </w:rPr>
          <w:instrText xml:space="preserve"> PAGEREF _Toc415488983 \h </w:instrText>
        </w:r>
        <w:r w:rsidR="007E378A">
          <w:rPr>
            <w:noProof/>
            <w:webHidden/>
          </w:rPr>
        </w:r>
        <w:r w:rsidR="007E378A">
          <w:rPr>
            <w:noProof/>
            <w:webHidden/>
          </w:rPr>
          <w:fldChar w:fldCharType="separate"/>
        </w:r>
        <w:r w:rsidR="007E378A">
          <w:rPr>
            <w:noProof/>
            <w:webHidden/>
          </w:rPr>
          <w:t>48</w:t>
        </w:r>
        <w:r w:rsidR="007E378A">
          <w:rPr>
            <w:noProof/>
            <w:webHidden/>
          </w:rPr>
          <w:fldChar w:fldCharType="end"/>
        </w:r>
      </w:hyperlink>
    </w:p>
    <w:p w14:paraId="38390D6B" w14:textId="77777777" w:rsidR="007E378A" w:rsidRDefault="00891D9B">
      <w:pPr>
        <w:pStyle w:val="TOC3"/>
        <w:rPr>
          <w:rFonts w:asciiTheme="minorHAnsi" w:eastAsiaTheme="minorEastAsia" w:hAnsiTheme="minorHAnsi" w:cstheme="minorBidi"/>
          <w:noProof/>
          <w:sz w:val="22"/>
          <w:szCs w:val="22"/>
        </w:rPr>
      </w:pPr>
      <w:hyperlink w:anchor="_Toc415488984" w:history="1">
        <w:r w:rsidR="007E378A" w:rsidRPr="002A575B">
          <w:rPr>
            <w:rStyle w:val="Hyperlink"/>
            <w:noProof/>
          </w:rPr>
          <w:t>6.2.4 Current ex post versus current ex ante</w:t>
        </w:r>
        <w:r w:rsidR="007E378A">
          <w:rPr>
            <w:noProof/>
            <w:webHidden/>
          </w:rPr>
          <w:tab/>
        </w:r>
        <w:r w:rsidR="007E378A">
          <w:rPr>
            <w:noProof/>
            <w:webHidden/>
          </w:rPr>
          <w:fldChar w:fldCharType="begin"/>
        </w:r>
        <w:r w:rsidR="007E378A">
          <w:rPr>
            <w:noProof/>
            <w:webHidden/>
          </w:rPr>
          <w:instrText xml:space="preserve"> PAGEREF _Toc415488984 \h </w:instrText>
        </w:r>
        <w:r w:rsidR="007E378A">
          <w:rPr>
            <w:noProof/>
            <w:webHidden/>
          </w:rPr>
        </w:r>
        <w:r w:rsidR="007E378A">
          <w:rPr>
            <w:noProof/>
            <w:webHidden/>
          </w:rPr>
          <w:fldChar w:fldCharType="separate"/>
        </w:r>
        <w:r w:rsidR="007E378A">
          <w:rPr>
            <w:noProof/>
            <w:webHidden/>
          </w:rPr>
          <w:t>49</w:t>
        </w:r>
        <w:r w:rsidR="007E378A">
          <w:rPr>
            <w:noProof/>
            <w:webHidden/>
          </w:rPr>
          <w:fldChar w:fldCharType="end"/>
        </w:r>
      </w:hyperlink>
    </w:p>
    <w:p w14:paraId="7FC49FC1"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85" w:history="1">
        <w:r w:rsidR="007E378A" w:rsidRPr="002A575B">
          <w:rPr>
            <w:rStyle w:val="Hyperlink"/>
            <w:noProof/>
          </w:rPr>
          <w:t>6.3 SDG&amp;E</w:t>
        </w:r>
        <w:r w:rsidR="007E378A">
          <w:rPr>
            <w:noProof/>
            <w:webHidden/>
          </w:rPr>
          <w:tab/>
        </w:r>
        <w:r w:rsidR="007E378A">
          <w:rPr>
            <w:noProof/>
            <w:webHidden/>
          </w:rPr>
          <w:fldChar w:fldCharType="begin"/>
        </w:r>
        <w:r w:rsidR="007E378A">
          <w:rPr>
            <w:noProof/>
            <w:webHidden/>
          </w:rPr>
          <w:instrText xml:space="preserve"> PAGEREF _Toc415488985 \h </w:instrText>
        </w:r>
        <w:r w:rsidR="007E378A">
          <w:rPr>
            <w:noProof/>
            <w:webHidden/>
          </w:rPr>
        </w:r>
        <w:r w:rsidR="007E378A">
          <w:rPr>
            <w:noProof/>
            <w:webHidden/>
          </w:rPr>
          <w:fldChar w:fldCharType="separate"/>
        </w:r>
        <w:r w:rsidR="007E378A">
          <w:rPr>
            <w:noProof/>
            <w:webHidden/>
          </w:rPr>
          <w:t>50</w:t>
        </w:r>
        <w:r w:rsidR="007E378A">
          <w:rPr>
            <w:noProof/>
            <w:webHidden/>
          </w:rPr>
          <w:fldChar w:fldCharType="end"/>
        </w:r>
      </w:hyperlink>
    </w:p>
    <w:p w14:paraId="35319FCE" w14:textId="77777777" w:rsidR="007E378A" w:rsidRDefault="00891D9B">
      <w:pPr>
        <w:pStyle w:val="TOC3"/>
        <w:rPr>
          <w:rFonts w:asciiTheme="minorHAnsi" w:eastAsiaTheme="minorEastAsia" w:hAnsiTheme="minorHAnsi" w:cstheme="minorBidi"/>
          <w:noProof/>
          <w:sz w:val="22"/>
          <w:szCs w:val="22"/>
        </w:rPr>
      </w:pPr>
      <w:hyperlink w:anchor="_Toc415488986" w:history="1">
        <w:r w:rsidR="007E378A" w:rsidRPr="002A575B">
          <w:rPr>
            <w:rStyle w:val="Hyperlink"/>
            <w:noProof/>
          </w:rPr>
          <w:t>6.3.1 Previous versus current ex post</w:t>
        </w:r>
        <w:r w:rsidR="007E378A">
          <w:rPr>
            <w:noProof/>
            <w:webHidden/>
          </w:rPr>
          <w:tab/>
        </w:r>
        <w:r w:rsidR="007E378A">
          <w:rPr>
            <w:noProof/>
            <w:webHidden/>
          </w:rPr>
          <w:fldChar w:fldCharType="begin"/>
        </w:r>
        <w:r w:rsidR="007E378A">
          <w:rPr>
            <w:noProof/>
            <w:webHidden/>
          </w:rPr>
          <w:instrText xml:space="preserve"> PAGEREF _Toc415488986 \h </w:instrText>
        </w:r>
        <w:r w:rsidR="007E378A">
          <w:rPr>
            <w:noProof/>
            <w:webHidden/>
          </w:rPr>
        </w:r>
        <w:r w:rsidR="007E378A">
          <w:rPr>
            <w:noProof/>
            <w:webHidden/>
          </w:rPr>
          <w:fldChar w:fldCharType="separate"/>
        </w:r>
        <w:r w:rsidR="007E378A">
          <w:rPr>
            <w:noProof/>
            <w:webHidden/>
          </w:rPr>
          <w:t>50</w:t>
        </w:r>
        <w:r w:rsidR="007E378A">
          <w:rPr>
            <w:noProof/>
            <w:webHidden/>
          </w:rPr>
          <w:fldChar w:fldCharType="end"/>
        </w:r>
      </w:hyperlink>
    </w:p>
    <w:p w14:paraId="4BCC82DE" w14:textId="77777777" w:rsidR="007E378A" w:rsidRDefault="00891D9B">
      <w:pPr>
        <w:pStyle w:val="TOC3"/>
        <w:rPr>
          <w:rFonts w:asciiTheme="minorHAnsi" w:eastAsiaTheme="minorEastAsia" w:hAnsiTheme="minorHAnsi" w:cstheme="minorBidi"/>
          <w:noProof/>
          <w:sz w:val="22"/>
          <w:szCs w:val="22"/>
        </w:rPr>
      </w:pPr>
      <w:hyperlink w:anchor="_Toc415488987" w:history="1">
        <w:r w:rsidR="007E378A" w:rsidRPr="002A575B">
          <w:rPr>
            <w:rStyle w:val="Hyperlink"/>
            <w:noProof/>
          </w:rPr>
          <w:t>6.3.2 Previous versus current ex ante</w:t>
        </w:r>
        <w:r w:rsidR="007E378A">
          <w:rPr>
            <w:noProof/>
            <w:webHidden/>
          </w:rPr>
          <w:tab/>
        </w:r>
        <w:r w:rsidR="007E378A">
          <w:rPr>
            <w:noProof/>
            <w:webHidden/>
          </w:rPr>
          <w:fldChar w:fldCharType="begin"/>
        </w:r>
        <w:r w:rsidR="007E378A">
          <w:rPr>
            <w:noProof/>
            <w:webHidden/>
          </w:rPr>
          <w:instrText xml:space="preserve"> PAGEREF _Toc415488987 \h </w:instrText>
        </w:r>
        <w:r w:rsidR="007E378A">
          <w:rPr>
            <w:noProof/>
            <w:webHidden/>
          </w:rPr>
        </w:r>
        <w:r w:rsidR="007E378A">
          <w:rPr>
            <w:noProof/>
            <w:webHidden/>
          </w:rPr>
          <w:fldChar w:fldCharType="separate"/>
        </w:r>
        <w:r w:rsidR="007E378A">
          <w:rPr>
            <w:noProof/>
            <w:webHidden/>
          </w:rPr>
          <w:t>51</w:t>
        </w:r>
        <w:r w:rsidR="007E378A">
          <w:rPr>
            <w:noProof/>
            <w:webHidden/>
          </w:rPr>
          <w:fldChar w:fldCharType="end"/>
        </w:r>
      </w:hyperlink>
    </w:p>
    <w:p w14:paraId="7FC5611A" w14:textId="77777777" w:rsidR="007E378A" w:rsidRDefault="00891D9B">
      <w:pPr>
        <w:pStyle w:val="TOC3"/>
        <w:rPr>
          <w:rFonts w:asciiTheme="minorHAnsi" w:eastAsiaTheme="minorEastAsia" w:hAnsiTheme="minorHAnsi" w:cstheme="minorBidi"/>
          <w:noProof/>
          <w:sz w:val="22"/>
          <w:szCs w:val="22"/>
        </w:rPr>
      </w:pPr>
      <w:hyperlink w:anchor="_Toc415488988" w:history="1">
        <w:r w:rsidR="007E378A" w:rsidRPr="002A575B">
          <w:rPr>
            <w:rStyle w:val="Hyperlink"/>
            <w:noProof/>
          </w:rPr>
          <w:t>6.3.3 Previous ex ante versus current ex post</w:t>
        </w:r>
        <w:r w:rsidR="007E378A">
          <w:rPr>
            <w:noProof/>
            <w:webHidden/>
          </w:rPr>
          <w:tab/>
        </w:r>
        <w:r w:rsidR="007E378A">
          <w:rPr>
            <w:noProof/>
            <w:webHidden/>
          </w:rPr>
          <w:fldChar w:fldCharType="begin"/>
        </w:r>
        <w:r w:rsidR="007E378A">
          <w:rPr>
            <w:noProof/>
            <w:webHidden/>
          </w:rPr>
          <w:instrText xml:space="preserve"> PAGEREF _Toc415488988 \h </w:instrText>
        </w:r>
        <w:r w:rsidR="007E378A">
          <w:rPr>
            <w:noProof/>
            <w:webHidden/>
          </w:rPr>
        </w:r>
        <w:r w:rsidR="007E378A">
          <w:rPr>
            <w:noProof/>
            <w:webHidden/>
          </w:rPr>
          <w:fldChar w:fldCharType="separate"/>
        </w:r>
        <w:r w:rsidR="007E378A">
          <w:rPr>
            <w:noProof/>
            <w:webHidden/>
          </w:rPr>
          <w:t>51</w:t>
        </w:r>
        <w:r w:rsidR="007E378A">
          <w:rPr>
            <w:noProof/>
            <w:webHidden/>
          </w:rPr>
          <w:fldChar w:fldCharType="end"/>
        </w:r>
      </w:hyperlink>
    </w:p>
    <w:p w14:paraId="522B1635" w14:textId="77777777" w:rsidR="007E378A" w:rsidRDefault="00891D9B">
      <w:pPr>
        <w:pStyle w:val="TOC3"/>
        <w:rPr>
          <w:rFonts w:asciiTheme="minorHAnsi" w:eastAsiaTheme="minorEastAsia" w:hAnsiTheme="minorHAnsi" w:cstheme="minorBidi"/>
          <w:noProof/>
          <w:sz w:val="22"/>
          <w:szCs w:val="22"/>
        </w:rPr>
      </w:pPr>
      <w:hyperlink w:anchor="_Toc415488989" w:history="1">
        <w:r w:rsidR="007E378A" w:rsidRPr="002A575B">
          <w:rPr>
            <w:rStyle w:val="Hyperlink"/>
            <w:noProof/>
          </w:rPr>
          <w:t>6.3.4 Current ex post versus current ex ante</w:t>
        </w:r>
        <w:r w:rsidR="007E378A">
          <w:rPr>
            <w:noProof/>
            <w:webHidden/>
          </w:rPr>
          <w:tab/>
        </w:r>
        <w:r w:rsidR="007E378A">
          <w:rPr>
            <w:noProof/>
            <w:webHidden/>
          </w:rPr>
          <w:fldChar w:fldCharType="begin"/>
        </w:r>
        <w:r w:rsidR="007E378A">
          <w:rPr>
            <w:noProof/>
            <w:webHidden/>
          </w:rPr>
          <w:instrText xml:space="preserve"> PAGEREF _Toc415488989 \h </w:instrText>
        </w:r>
        <w:r w:rsidR="007E378A">
          <w:rPr>
            <w:noProof/>
            <w:webHidden/>
          </w:rPr>
        </w:r>
        <w:r w:rsidR="007E378A">
          <w:rPr>
            <w:noProof/>
            <w:webHidden/>
          </w:rPr>
          <w:fldChar w:fldCharType="separate"/>
        </w:r>
        <w:r w:rsidR="007E378A">
          <w:rPr>
            <w:noProof/>
            <w:webHidden/>
          </w:rPr>
          <w:t>52</w:t>
        </w:r>
        <w:r w:rsidR="007E378A">
          <w:rPr>
            <w:noProof/>
            <w:webHidden/>
          </w:rPr>
          <w:fldChar w:fldCharType="end"/>
        </w:r>
      </w:hyperlink>
    </w:p>
    <w:p w14:paraId="59FFE185" w14:textId="77777777" w:rsidR="007E378A" w:rsidRDefault="00891D9B">
      <w:pPr>
        <w:pStyle w:val="TOC1"/>
        <w:rPr>
          <w:rFonts w:asciiTheme="minorHAnsi" w:eastAsiaTheme="minorEastAsia" w:hAnsiTheme="minorHAnsi" w:cstheme="minorBidi"/>
          <w:b w:val="0"/>
          <w:noProof/>
          <w:sz w:val="22"/>
          <w:szCs w:val="22"/>
        </w:rPr>
      </w:pPr>
      <w:hyperlink w:anchor="_Toc415488990" w:history="1">
        <w:r w:rsidR="007E378A" w:rsidRPr="002A575B">
          <w:rPr>
            <w:rStyle w:val="Hyperlink"/>
            <w:noProof/>
          </w:rPr>
          <w:t>7. Recommendations</w:t>
        </w:r>
        <w:r w:rsidR="007E378A">
          <w:rPr>
            <w:noProof/>
            <w:webHidden/>
          </w:rPr>
          <w:tab/>
        </w:r>
        <w:r w:rsidR="007E378A">
          <w:rPr>
            <w:noProof/>
            <w:webHidden/>
          </w:rPr>
          <w:fldChar w:fldCharType="begin"/>
        </w:r>
        <w:r w:rsidR="007E378A">
          <w:rPr>
            <w:noProof/>
            <w:webHidden/>
          </w:rPr>
          <w:instrText xml:space="preserve"> PAGEREF _Toc415488990 \h </w:instrText>
        </w:r>
        <w:r w:rsidR="007E378A">
          <w:rPr>
            <w:noProof/>
            <w:webHidden/>
          </w:rPr>
        </w:r>
        <w:r w:rsidR="007E378A">
          <w:rPr>
            <w:noProof/>
            <w:webHidden/>
          </w:rPr>
          <w:fldChar w:fldCharType="separate"/>
        </w:r>
        <w:r w:rsidR="007E378A">
          <w:rPr>
            <w:noProof/>
            <w:webHidden/>
          </w:rPr>
          <w:t>53</w:t>
        </w:r>
        <w:r w:rsidR="007E378A">
          <w:rPr>
            <w:noProof/>
            <w:webHidden/>
          </w:rPr>
          <w:fldChar w:fldCharType="end"/>
        </w:r>
      </w:hyperlink>
    </w:p>
    <w:p w14:paraId="487B853B" w14:textId="77777777" w:rsidR="007E378A" w:rsidRDefault="00891D9B">
      <w:pPr>
        <w:pStyle w:val="TOC1"/>
        <w:rPr>
          <w:rFonts w:asciiTheme="minorHAnsi" w:eastAsiaTheme="minorEastAsia" w:hAnsiTheme="minorHAnsi" w:cstheme="minorBidi"/>
          <w:b w:val="0"/>
          <w:noProof/>
          <w:sz w:val="22"/>
          <w:szCs w:val="22"/>
        </w:rPr>
      </w:pPr>
      <w:hyperlink w:anchor="_Toc415488991" w:history="1">
        <w:r w:rsidR="007E378A" w:rsidRPr="002A575B">
          <w:rPr>
            <w:rStyle w:val="Hyperlink"/>
            <w:noProof/>
          </w:rPr>
          <w:t>Appendices</w:t>
        </w:r>
        <w:r w:rsidR="007E378A">
          <w:rPr>
            <w:noProof/>
            <w:webHidden/>
          </w:rPr>
          <w:tab/>
        </w:r>
        <w:r w:rsidR="007E378A">
          <w:rPr>
            <w:noProof/>
            <w:webHidden/>
          </w:rPr>
          <w:fldChar w:fldCharType="begin"/>
        </w:r>
        <w:r w:rsidR="007E378A">
          <w:rPr>
            <w:noProof/>
            <w:webHidden/>
          </w:rPr>
          <w:instrText xml:space="preserve"> PAGEREF _Toc415488991 \h </w:instrText>
        </w:r>
        <w:r w:rsidR="007E378A">
          <w:rPr>
            <w:noProof/>
            <w:webHidden/>
          </w:rPr>
        </w:r>
        <w:r w:rsidR="007E378A">
          <w:rPr>
            <w:noProof/>
            <w:webHidden/>
          </w:rPr>
          <w:fldChar w:fldCharType="separate"/>
        </w:r>
        <w:r w:rsidR="007E378A">
          <w:rPr>
            <w:noProof/>
            <w:webHidden/>
          </w:rPr>
          <w:t>54</w:t>
        </w:r>
        <w:r w:rsidR="007E378A">
          <w:rPr>
            <w:noProof/>
            <w:webHidden/>
          </w:rPr>
          <w:fldChar w:fldCharType="end"/>
        </w:r>
      </w:hyperlink>
    </w:p>
    <w:p w14:paraId="45B30113" w14:textId="77777777" w:rsidR="007E378A" w:rsidRDefault="00891D9B">
      <w:pPr>
        <w:pStyle w:val="TOC1"/>
        <w:rPr>
          <w:rFonts w:asciiTheme="minorHAnsi" w:eastAsiaTheme="minorEastAsia" w:hAnsiTheme="minorHAnsi" w:cstheme="minorBidi"/>
          <w:b w:val="0"/>
          <w:noProof/>
          <w:sz w:val="22"/>
          <w:szCs w:val="22"/>
        </w:rPr>
      </w:pPr>
      <w:hyperlink w:anchor="_Toc415488992" w:history="1">
        <w:r w:rsidR="007E378A" w:rsidRPr="002A575B">
          <w:rPr>
            <w:rStyle w:val="Hyperlink"/>
            <w:noProof/>
          </w:rPr>
          <w:t>Appendix A. Validity Assessment</w:t>
        </w:r>
        <w:r w:rsidR="007E378A">
          <w:rPr>
            <w:noProof/>
            <w:webHidden/>
          </w:rPr>
          <w:tab/>
        </w:r>
        <w:r w:rsidR="007E378A">
          <w:rPr>
            <w:noProof/>
            <w:webHidden/>
          </w:rPr>
          <w:fldChar w:fldCharType="begin"/>
        </w:r>
        <w:r w:rsidR="007E378A">
          <w:rPr>
            <w:noProof/>
            <w:webHidden/>
          </w:rPr>
          <w:instrText xml:space="preserve"> PAGEREF _Toc415488992 \h </w:instrText>
        </w:r>
        <w:r w:rsidR="007E378A">
          <w:rPr>
            <w:noProof/>
            <w:webHidden/>
          </w:rPr>
        </w:r>
        <w:r w:rsidR="007E378A">
          <w:rPr>
            <w:noProof/>
            <w:webHidden/>
          </w:rPr>
          <w:fldChar w:fldCharType="separate"/>
        </w:r>
        <w:r w:rsidR="007E378A">
          <w:rPr>
            <w:noProof/>
            <w:webHidden/>
          </w:rPr>
          <w:t>55</w:t>
        </w:r>
        <w:r w:rsidR="007E378A">
          <w:rPr>
            <w:noProof/>
            <w:webHidden/>
          </w:rPr>
          <w:fldChar w:fldCharType="end"/>
        </w:r>
      </w:hyperlink>
    </w:p>
    <w:p w14:paraId="7F3D0B2B"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93" w:history="1">
        <w:r w:rsidR="007E378A" w:rsidRPr="002A575B">
          <w:rPr>
            <w:rStyle w:val="Hyperlink"/>
            <w:noProof/>
          </w:rPr>
          <w:t>A.1 Model Specification Tests</w:t>
        </w:r>
        <w:r w:rsidR="007E378A">
          <w:rPr>
            <w:noProof/>
            <w:webHidden/>
          </w:rPr>
          <w:tab/>
        </w:r>
        <w:r w:rsidR="007E378A">
          <w:rPr>
            <w:noProof/>
            <w:webHidden/>
          </w:rPr>
          <w:fldChar w:fldCharType="begin"/>
        </w:r>
        <w:r w:rsidR="007E378A">
          <w:rPr>
            <w:noProof/>
            <w:webHidden/>
          </w:rPr>
          <w:instrText xml:space="preserve"> PAGEREF _Toc415488993 \h </w:instrText>
        </w:r>
        <w:r w:rsidR="007E378A">
          <w:rPr>
            <w:noProof/>
            <w:webHidden/>
          </w:rPr>
        </w:r>
        <w:r w:rsidR="007E378A">
          <w:rPr>
            <w:noProof/>
            <w:webHidden/>
          </w:rPr>
          <w:fldChar w:fldCharType="separate"/>
        </w:r>
        <w:r w:rsidR="007E378A">
          <w:rPr>
            <w:noProof/>
            <w:webHidden/>
          </w:rPr>
          <w:t>55</w:t>
        </w:r>
        <w:r w:rsidR="007E378A">
          <w:rPr>
            <w:noProof/>
            <w:webHidden/>
          </w:rPr>
          <w:fldChar w:fldCharType="end"/>
        </w:r>
      </w:hyperlink>
    </w:p>
    <w:p w14:paraId="63E26595" w14:textId="77777777" w:rsidR="007E378A" w:rsidRDefault="00891D9B">
      <w:pPr>
        <w:pStyle w:val="TOC3"/>
        <w:rPr>
          <w:rFonts w:asciiTheme="minorHAnsi" w:eastAsiaTheme="minorEastAsia" w:hAnsiTheme="minorHAnsi" w:cstheme="minorBidi"/>
          <w:noProof/>
          <w:sz w:val="22"/>
          <w:szCs w:val="22"/>
        </w:rPr>
      </w:pPr>
      <w:hyperlink w:anchor="_Toc415488994" w:history="1">
        <w:r w:rsidR="007E378A" w:rsidRPr="002A575B">
          <w:rPr>
            <w:rStyle w:val="Hyperlink"/>
            <w:noProof/>
          </w:rPr>
          <w:t>A.1.1 Selection of Event-Like Non-Event Days</w:t>
        </w:r>
        <w:r w:rsidR="007E378A">
          <w:rPr>
            <w:noProof/>
            <w:webHidden/>
          </w:rPr>
          <w:tab/>
        </w:r>
        <w:r w:rsidR="007E378A">
          <w:rPr>
            <w:noProof/>
            <w:webHidden/>
          </w:rPr>
          <w:fldChar w:fldCharType="begin"/>
        </w:r>
        <w:r w:rsidR="007E378A">
          <w:rPr>
            <w:noProof/>
            <w:webHidden/>
          </w:rPr>
          <w:instrText xml:space="preserve"> PAGEREF _Toc415488994 \h </w:instrText>
        </w:r>
        <w:r w:rsidR="007E378A">
          <w:rPr>
            <w:noProof/>
            <w:webHidden/>
          </w:rPr>
        </w:r>
        <w:r w:rsidR="007E378A">
          <w:rPr>
            <w:noProof/>
            <w:webHidden/>
          </w:rPr>
          <w:fldChar w:fldCharType="separate"/>
        </w:r>
        <w:r w:rsidR="007E378A">
          <w:rPr>
            <w:noProof/>
            <w:webHidden/>
          </w:rPr>
          <w:t>57</w:t>
        </w:r>
        <w:r w:rsidR="007E378A">
          <w:rPr>
            <w:noProof/>
            <w:webHidden/>
          </w:rPr>
          <w:fldChar w:fldCharType="end"/>
        </w:r>
      </w:hyperlink>
    </w:p>
    <w:p w14:paraId="7F5FF3CB" w14:textId="77777777" w:rsidR="007E378A" w:rsidRDefault="00891D9B">
      <w:pPr>
        <w:pStyle w:val="TOC3"/>
        <w:rPr>
          <w:rFonts w:asciiTheme="minorHAnsi" w:eastAsiaTheme="minorEastAsia" w:hAnsiTheme="minorHAnsi" w:cstheme="minorBidi"/>
          <w:noProof/>
          <w:sz w:val="22"/>
          <w:szCs w:val="22"/>
        </w:rPr>
      </w:pPr>
      <w:hyperlink w:anchor="_Toc415488995" w:history="1">
        <w:r w:rsidR="007E378A" w:rsidRPr="002A575B">
          <w:rPr>
            <w:rStyle w:val="Hyperlink"/>
            <w:noProof/>
          </w:rPr>
          <w:t>A.1.2 Results from Tests of Alternative Weather Specifications</w:t>
        </w:r>
        <w:r w:rsidR="007E378A">
          <w:rPr>
            <w:noProof/>
            <w:webHidden/>
          </w:rPr>
          <w:tab/>
        </w:r>
        <w:r w:rsidR="007E378A">
          <w:rPr>
            <w:noProof/>
            <w:webHidden/>
          </w:rPr>
          <w:fldChar w:fldCharType="begin"/>
        </w:r>
        <w:r w:rsidR="007E378A">
          <w:rPr>
            <w:noProof/>
            <w:webHidden/>
          </w:rPr>
          <w:instrText xml:space="preserve"> PAGEREF _Toc415488995 \h </w:instrText>
        </w:r>
        <w:r w:rsidR="007E378A">
          <w:rPr>
            <w:noProof/>
            <w:webHidden/>
          </w:rPr>
        </w:r>
        <w:r w:rsidR="007E378A">
          <w:rPr>
            <w:noProof/>
            <w:webHidden/>
          </w:rPr>
          <w:fldChar w:fldCharType="separate"/>
        </w:r>
        <w:r w:rsidR="007E378A">
          <w:rPr>
            <w:noProof/>
            <w:webHidden/>
          </w:rPr>
          <w:t>57</w:t>
        </w:r>
        <w:r w:rsidR="007E378A">
          <w:rPr>
            <w:noProof/>
            <w:webHidden/>
          </w:rPr>
          <w:fldChar w:fldCharType="end"/>
        </w:r>
      </w:hyperlink>
    </w:p>
    <w:p w14:paraId="1F18BDD1" w14:textId="77777777" w:rsidR="007E378A" w:rsidRDefault="00891D9B">
      <w:pPr>
        <w:pStyle w:val="TOC3"/>
        <w:rPr>
          <w:rFonts w:asciiTheme="minorHAnsi" w:eastAsiaTheme="minorEastAsia" w:hAnsiTheme="minorHAnsi" w:cstheme="minorBidi"/>
          <w:noProof/>
          <w:sz w:val="22"/>
          <w:szCs w:val="22"/>
        </w:rPr>
      </w:pPr>
      <w:hyperlink w:anchor="_Toc415488996" w:history="1">
        <w:r w:rsidR="007E378A" w:rsidRPr="002A575B">
          <w:rPr>
            <w:rStyle w:val="Hyperlink"/>
            <w:noProof/>
          </w:rPr>
          <w:t>A.1.3 Synthetic Event Day Tests</w:t>
        </w:r>
        <w:r w:rsidR="007E378A">
          <w:rPr>
            <w:noProof/>
            <w:webHidden/>
          </w:rPr>
          <w:tab/>
        </w:r>
        <w:r w:rsidR="007E378A">
          <w:rPr>
            <w:noProof/>
            <w:webHidden/>
          </w:rPr>
          <w:fldChar w:fldCharType="begin"/>
        </w:r>
        <w:r w:rsidR="007E378A">
          <w:rPr>
            <w:noProof/>
            <w:webHidden/>
          </w:rPr>
          <w:instrText xml:space="preserve"> PAGEREF _Toc415488996 \h </w:instrText>
        </w:r>
        <w:r w:rsidR="007E378A">
          <w:rPr>
            <w:noProof/>
            <w:webHidden/>
          </w:rPr>
        </w:r>
        <w:r w:rsidR="007E378A">
          <w:rPr>
            <w:noProof/>
            <w:webHidden/>
          </w:rPr>
          <w:fldChar w:fldCharType="separate"/>
        </w:r>
        <w:r w:rsidR="007E378A">
          <w:rPr>
            <w:noProof/>
            <w:webHidden/>
          </w:rPr>
          <w:t>60</w:t>
        </w:r>
        <w:r w:rsidR="007E378A">
          <w:rPr>
            <w:noProof/>
            <w:webHidden/>
          </w:rPr>
          <w:fldChar w:fldCharType="end"/>
        </w:r>
      </w:hyperlink>
    </w:p>
    <w:p w14:paraId="1336B333"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97" w:history="1">
        <w:r w:rsidR="007E378A" w:rsidRPr="002A575B">
          <w:rPr>
            <w:rStyle w:val="Hyperlink"/>
            <w:noProof/>
          </w:rPr>
          <w:t>A.2 Comparison of Predicted and Observed Loads on Event-like Days</w:t>
        </w:r>
        <w:r w:rsidR="007E378A">
          <w:rPr>
            <w:noProof/>
            <w:webHidden/>
          </w:rPr>
          <w:tab/>
        </w:r>
        <w:r w:rsidR="007E378A">
          <w:rPr>
            <w:noProof/>
            <w:webHidden/>
          </w:rPr>
          <w:fldChar w:fldCharType="begin"/>
        </w:r>
        <w:r w:rsidR="007E378A">
          <w:rPr>
            <w:noProof/>
            <w:webHidden/>
          </w:rPr>
          <w:instrText xml:space="preserve"> PAGEREF _Toc415488997 \h </w:instrText>
        </w:r>
        <w:r w:rsidR="007E378A">
          <w:rPr>
            <w:noProof/>
            <w:webHidden/>
          </w:rPr>
        </w:r>
        <w:r w:rsidR="007E378A">
          <w:rPr>
            <w:noProof/>
            <w:webHidden/>
          </w:rPr>
          <w:fldChar w:fldCharType="separate"/>
        </w:r>
        <w:r w:rsidR="007E378A">
          <w:rPr>
            <w:noProof/>
            <w:webHidden/>
          </w:rPr>
          <w:t>61</w:t>
        </w:r>
        <w:r w:rsidR="007E378A">
          <w:rPr>
            <w:noProof/>
            <w:webHidden/>
          </w:rPr>
          <w:fldChar w:fldCharType="end"/>
        </w:r>
      </w:hyperlink>
    </w:p>
    <w:p w14:paraId="34856ED0"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98" w:history="1">
        <w:r w:rsidR="007E378A" w:rsidRPr="002A575B">
          <w:rPr>
            <w:rStyle w:val="Hyperlink"/>
            <w:noProof/>
          </w:rPr>
          <w:t>A.3 Refinement of Customer-Level Models</w:t>
        </w:r>
        <w:r w:rsidR="007E378A">
          <w:rPr>
            <w:noProof/>
            <w:webHidden/>
          </w:rPr>
          <w:tab/>
        </w:r>
        <w:r w:rsidR="007E378A">
          <w:rPr>
            <w:noProof/>
            <w:webHidden/>
          </w:rPr>
          <w:fldChar w:fldCharType="begin"/>
        </w:r>
        <w:r w:rsidR="007E378A">
          <w:rPr>
            <w:noProof/>
            <w:webHidden/>
          </w:rPr>
          <w:instrText xml:space="preserve"> PAGEREF _Toc415488998 \h </w:instrText>
        </w:r>
        <w:r w:rsidR="007E378A">
          <w:rPr>
            <w:noProof/>
            <w:webHidden/>
          </w:rPr>
        </w:r>
        <w:r w:rsidR="007E378A">
          <w:rPr>
            <w:noProof/>
            <w:webHidden/>
          </w:rPr>
          <w:fldChar w:fldCharType="separate"/>
        </w:r>
        <w:r w:rsidR="007E378A">
          <w:rPr>
            <w:noProof/>
            <w:webHidden/>
          </w:rPr>
          <w:t>64</w:t>
        </w:r>
        <w:r w:rsidR="007E378A">
          <w:rPr>
            <w:noProof/>
            <w:webHidden/>
          </w:rPr>
          <w:fldChar w:fldCharType="end"/>
        </w:r>
      </w:hyperlink>
    </w:p>
    <w:p w14:paraId="7DF8FFBE" w14:textId="77777777" w:rsidR="007E378A" w:rsidRDefault="00891D9B">
      <w:pPr>
        <w:pStyle w:val="TOC2"/>
        <w:tabs>
          <w:tab w:val="right" w:leader="dot" w:pos="8630"/>
        </w:tabs>
        <w:rPr>
          <w:rFonts w:asciiTheme="minorHAnsi" w:eastAsiaTheme="minorEastAsia" w:hAnsiTheme="minorHAnsi" w:cstheme="minorBidi"/>
          <w:noProof/>
          <w:sz w:val="22"/>
          <w:szCs w:val="22"/>
        </w:rPr>
      </w:pPr>
      <w:hyperlink w:anchor="_Toc415488999" w:history="1">
        <w:r w:rsidR="007E378A" w:rsidRPr="002A575B">
          <w:rPr>
            <w:rStyle w:val="Hyperlink"/>
            <w:noProof/>
          </w:rPr>
          <w:t>A.4 Comparison of 15-minute and 60-minutes Estimates</w:t>
        </w:r>
        <w:r w:rsidR="007E378A">
          <w:rPr>
            <w:noProof/>
            <w:webHidden/>
          </w:rPr>
          <w:tab/>
        </w:r>
        <w:r w:rsidR="007E378A">
          <w:rPr>
            <w:noProof/>
            <w:webHidden/>
          </w:rPr>
          <w:fldChar w:fldCharType="begin"/>
        </w:r>
        <w:r w:rsidR="007E378A">
          <w:rPr>
            <w:noProof/>
            <w:webHidden/>
          </w:rPr>
          <w:instrText xml:space="preserve"> PAGEREF _Toc415488999 \h </w:instrText>
        </w:r>
        <w:r w:rsidR="007E378A">
          <w:rPr>
            <w:noProof/>
            <w:webHidden/>
          </w:rPr>
        </w:r>
        <w:r w:rsidR="007E378A">
          <w:rPr>
            <w:noProof/>
            <w:webHidden/>
          </w:rPr>
          <w:fldChar w:fldCharType="separate"/>
        </w:r>
        <w:r w:rsidR="007E378A">
          <w:rPr>
            <w:noProof/>
            <w:webHidden/>
          </w:rPr>
          <w:t>65</w:t>
        </w:r>
        <w:r w:rsidR="007E378A">
          <w:rPr>
            <w:noProof/>
            <w:webHidden/>
          </w:rPr>
          <w:fldChar w:fldCharType="end"/>
        </w:r>
      </w:hyperlink>
    </w:p>
    <w:p w14:paraId="54782897" w14:textId="77777777" w:rsidR="007E378A" w:rsidRDefault="00891D9B">
      <w:pPr>
        <w:pStyle w:val="TOC1"/>
        <w:rPr>
          <w:rFonts w:asciiTheme="minorHAnsi" w:eastAsiaTheme="minorEastAsia" w:hAnsiTheme="minorHAnsi" w:cstheme="minorBidi"/>
          <w:b w:val="0"/>
          <w:noProof/>
          <w:sz w:val="22"/>
          <w:szCs w:val="22"/>
        </w:rPr>
      </w:pPr>
      <w:hyperlink w:anchor="_Toc415489000" w:history="1">
        <w:r w:rsidR="007E378A" w:rsidRPr="002A575B">
          <w:rPr>
            <w:rStyle w:val="Hyperlink"/>
            <w:noProof/>
          </w:rPr>
          <w:t>Appendix B. FSL Achievement by Industry Group</w:t>
        </w:r>
        <w:r w:rsidR="007E378A">
          <w:rPr>
            <w:noProof/>
            <w:webHidden/>
          </w:rPr>
          <w:tab/>
        </w:r>
        <w:r w:rsidR="007E378A">
          <w:rPr>
            <w:noProof/>
            <w:webHidden/>
          </w:rPr>
          <w:fldChar w:fldCharType="begin"/>
        </w:r>
        <w:r w:rsidR="007E378A">
          <w:rPr>
            <w:noProof/>
            <w:webHidden/>
          </w:rPr>
          <w:instrText xml:space="preserve"> PAGEREF _Toc415489000 \h </w:instrText>
        </w:r>
        <w:r w:rsidR="007E378A">
          <w:rPr>
            <w:noProof/>
            <w:webHidden/>
          </w:rPr>
        </w:r>
        <w:r w:rsidR="007E378A">
          <w:rPr>
            <w:noProof/>
            <w:webHidden/>
          </w:rPr>
          <w:fldChar w:fldCharType="separate"/>
        </w:r>
        <w:r w:rsidR="007E378A">
          <w:rPr>
            <w:noProof/>
            <w:webHidden/>
          </w:rPr>
          <w:t>66</w:t>
        </w:r>
        <w:r w:rsidR="007E378A">
          <w:rPr>
            <w:noProof/>
            <w:webHidden/>
          </w:rPr>
          <w:fldChar w:fldCharType="end"/>
        </w:r>
      </w:hyperlink>
    </w:p>
    <w:p w14:paraId="73E122E8" w14:textId="77777777" w:rsidR="00321E09" w:rsidRDefault="00321E09" w:rsidP="003F442E">
      <w:pPr>
        <w:jc w:val="center"/>
        <w:rPr>
          <w:b/>
          <w:sz w:val="28"/>
          <w:szCs w:val="28"/>
        </w:rPr>
        <w:sectPr w:rsidR="00321E09" w:rsidSect="00656C04">
          <w:headerReference w:type="default" r:id="rId11"/>
          <w:footerReference w:type="default" r:id="rId12"/>
          <w:pgSz w:w="12240" w:h="15840"/>
          <w:pgMar w:top="1440" w:right="1800" w:bottom="1296" w:left="1800" w:header="720" w:footer="720" w:gutter="0"/>
          <w:pgNumType w:fmt="lowerRoman" w:start="1"/>
          <w:cols w:space="720"/>
          <w:docGrid w:linePitch="360"/>
        </w:sectPr>
      </w:pPr>
      <w:r w:rsidRPr="00421999">
        <w:rPr>
          <w:sz w:val="22"/>
          <w:szCs w:val="22"/>
        </w:rPr>
        <w:fldChar w:fldCharType="end"/>
      </w:r>
    </w:p>
    <w:p w14:paraId="1F051F03" w14:textId="77777777" w:rsidR="00321E09" w:rsidRPr="00131108" w:rsidRDefault="00321E09" w:rsidP="00131108">
      <w:pPr>
        <w:jc w:val="center"/>
        <w:rPr>
          <w:b/>
        </w:rPr>
      </w:pPr>
      <w:r w:rsidRPr="00131108">
        <w:rPr>
          <w:b/>
        </w:rPr>
        <w:lastRenderedPageBreak/>
        <w:t>Tables</w:t>
      </w:r>
    </w:p>
    <w:p w14:paraId="6754CDE3" w14:textId="77777777" w:rsidR="007E378A" w:rsidRDefault="00321E09">
      <w:pPr>
        <w:pStyle w:val="TableofFigures"/>
        <w:tabs>
          <w:tab w:val="right" w:leader="dot" w:pos="9350"/>
        </w:tabs>
        <w:rPr>
          <w:rFonts w:asciiTheme="minorHAnsi" w:eastAsiaTheme="minorEastAsia" w:hAnsiTheme="minorHAnsi" w:cstheme="minorBidi"/>
          <w:noProof/>
          <w:sz w:val="22"/>
          <w:szCs w:val="22"/>
        </w:rPr>
      </w:pPr>
      <w:r>
        <w:rPr>
          <w:b/>
          <w:sz w:val="28"/>
          <w:szCs w:val="28"/>
        </w:rPr>
        <w:fldChar w:fldCharType="begin"/>
      </w:r>
      <w:r>
        <w:rPr>
          <w:b/>
          <w:sz w:val="28"/>
          <w:szCs w:val="28"/>
        </w:rPr>
        <w:instrText xml:space="preserve"> TOC \h \z \t "Table Caption" \c </w:instrText>
      </w:r>
      <w:r>
        <w:rPr>
          <w:b/>
          <w:sz w:val="28"/>
          <w:szCs w:val="28"/>
        </w:rPr>
        <w:fldChar w:fldCharType="separate"/>
      </w:r>
      <w:hyperlink w:anchor="_Toc415489001" w:history="1">
        <w:r w:rsidR="007E378A" w:rsidRPr="008F43A8">
          <w:rPr>
            <w:rStyle w:val="Hyperlink"/>
            <w:noProof/>
          </w:rPr>
          <w:t xml:space="preserve">Table 2.1: BIP Enrollees by Industry Group, </w:t>
        </w:r>
        <w:r w:rsidR="007E378A" w:rsidRPr="008F43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_Toc415489001 \h </w:instrText>
        </w:r>
        <w:r w:rsidR="007E378A">
          <w:rPr>
            <w:noProof/>
            <w:webHidden/>
          </w:rPr>
        </w:r>
        <w:r w:rsidR="007E378A">
          <w:rPr>
            <w:noProof/>
            <w:webHidden/>
          </w:rPr>
          <w:fldChar w:fldCharType="separate"/>
        </w:r>
        <w:r w:rsidR="007E378A">
          <w:rPr>
            <w:noProof/>
            <w:webHidden/>
          </w:rPr>
          <w:t>13</w:t>
        </w:r>
        <w:r w:rsidR="007E378A">
          <w:rPr>
            <w:noProof/>
            <w:webHidden/>
          </w:rPr>
          <w:fldChar w:fldCharType="end"/>
        </w:r>
      </w:hyperlink>
    </w:p>
    <w:p w14:paraId="3B6B65FE"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02" w:history="1">
        <w:r w:rsidR="007E378A" w:rsidRPr="008F43A8">
          <w:rPr>
            <w:rStyle w:val="Hyperlink"/>
            <w:noProof/>
          </w:rPr>
          <w:t xml:space="preserve">Table 2.2: BIP Enrollees by Industry Group, </w:t>
        </w:r>
        <w:r w:rsidR="007E378A" w:rsidRPr="008F43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_Toc415489002 \h </w:instrText>
        </w:r>
        <w:r w:rsidR="007E378A">
          <w:rPr>
            <w:noProof/>
            <w:webHidden/>
          </w:rPr>
        </w:r>
        <w:r w:rsidR="007E378A">
          <w:rPr>
            <w:noProof/>
            <w:webHidden/>
          </w:rPr>
          <w:fldChar w:fldCharType="separate"/>
        </w:r>
        <w:r w:rsidR="007E378A">
          <w:rPr>
            <w:noProof/>
            <w:webHidden/>
          </w:rPr>
          <w:t>13</w:t>
        </w:r>
        <w:r w:rsidR="007E378A">
          <w:rPr>
            <w:noProof/>
            <w:webHidden/>
          </w:rPr>
          <w:fldChar w:fldCharType="end"/>
        </w:r>
      </w:hyperlink>
    </w:p>
    <w:p w14:paraId="223483A9"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03" w:history="1">
        <w:r w:rsidR="007E378A" w:rsidRPr="008F43A8">
          <w:rPr>
            <w:rStyle w:val="Hyperlink"/>
            <w:noProof/>
          </w:rPr>
          <w:t xml:space="preserve">Table 2.3: BIP Enrollees by Industry Group, </w:t>
        </w:r>
        <w:r w:rsidR="007E378A" w:rsidRPr="008F43A8">
          <w:rPr>
            <w:rStyle w:val="Hyperlink"/>
            <w:i/>
            <w:noProof/>
          </w:rPr>
          <w:t>SDG&amp;E</w:t>
        </w:r>
        <w:r w:rsidR="007E378A">
          <w:rPr>
            <w:noProof/>
            <w:webHidden/>
          </w:rPr>
          <w:tab/>
        </w:r>
        <w:r w:rsidR="007E378A">
          <w:rPr>
            <w:noProof/>
            <w:webHidden/>
          </w:rPr>
          <w:fldChar w:fldCharType="begin"/>
        </w:r>
        <w:r w:rsidR="007E378A">
          <w:rPr>
            <w:noProof/>
            <w:webHidden/>
          </w:rPr>
          <w:instrText xml:space="preserve"> PAGEREF _Toc415489003 \h </w:instrText>
        </w:r>
        <w:r w:rsidR="007E378A">
          <w:rPr>
            <w:noProof/>
            <w:webHidden/>
          </w:rPr>
        </w:r>
        <w:r w:rsidR="007E378A">
          <w:rPr>
            <w:noProof/>
            <w:webHidden/>
          </w:rPr>
          <w:fldChar w:fldCharType="separate"/>
        </w:r>
        <w:r w:rsidR="007E378A">
          <w:rPr>
            <w:noProof/>
            <w:webHidden/>
          </w:rPr>
          <w:t>14</w:t>
        </w:r>
        <w:r w:rsidR="007E378A">
          <w:rPr>
            <w:noProof/>
            <w:webHidden/>
          </w:rPr>
          <w:fldChar w:fldCharType="end"/>
        </w:r>
      </w:hyperlink>
    </w:p>
    <w:p w14:paraId="53ABC1AF"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04" w:history="1">
        <w:r w:rsidR="007E378A" w:rsidRPr="008F43A8">
          <w:rPr>
            <w:rStyle w:val="Hyperlink"/>
            <w:noProof/>
          </w:rPr>
          <w:t xml:space="preserve">Table 2.4: BIP Enrollees by Local Capacity Area, </w:t>
        </w:r>
        <w:r w:rsidR="007E378A" w:rsidRPr="008F43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_Toc415489004 \h </w:instrText>
        </w:r>
        <w:r w:rsidR="007E378A">
          <w:rPr>
            <w:noProof/>
            <w:webHidden/>
          </w:rPr>
        </w:r>
        <w:r w:rsidR="007E378A">
          <w:rPr>
            <w:noProof/>
            <w:webHidden/>
          </w:rPr>
          <w:fldChar w:fldCharType="separate"/>
        </w:r>
        <w:r w:rsidR="007E378A">
          <w:rPr>
            <w:noProof/>
            <w:webHidden/>
          </w:rPr>
          <w:t>14</w:t>
        </w:r>
        <w:r w:rsidR="007E378A">
          <w:rPr>
            <w:noProof/>
            <w:webHidden/>
          </w:rPr>
          <w:fldChar w:fldCharType="end"/>
        </w:r>
      </w:hyperlink>
    </w:p>
    <w:p w14:paraId="7F3247DD"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05" w:history="1">
        <w:r w:rsidR="007E378A" w:rsidRPr="008F43A8">
          <w:rPr>
            <w:rStyle w:val="Hyperlink"/>
            <w:noProof/>
          </w:rPr>
          <w:t xml:space="preserve">Table 2.5: BIP Enrollees by Local Capacity Area, </w:t>
        </w:r>
        <w:r w:rsidR="007E378A" w:rsidRPr="008F43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_Toc415489005 \h </w:instrText>
        </w:r>
        <w:r w:rsidR="007E378A">
          <w:rPr>
            <w:noProof/>
            <w:webHidden/>
          </w:rPr>
        </w:r>
        <w:r w:rsidR="007E378A">
          <w:rPr>
            <w:noProof/>
            <w:webHidden/>
          </w:rPr>
          <w:fldChar w:fldCharType="separate"/>
        </w:r>
        <w:r w:rsidR="007E378A">
          <w:rPr>
            <w:noProof/>
            <w:webHidden/>
          </w:rPr>
          <w:t>14</w:t>
        </w:r>
        <w:r w:rsidR="007E378A">
          <w:rPr>
            <w:noProof/>
            <w:webHidden/>
          </w:rPr>
          <w:fldChar w:fldCharType="end"/>
        </w:r>
      </w:hyperlink>
    </w:p>
    <w:p w14:paraId="46FBDBB3"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06" w:history="1">
        <w:r w:rsidR="007E378A" w:rsidRPr="008F43A8">
          <w:rPr>
            <w:rStyle w:val="Hyperlink"/>
            <w:noProof/>
          </w:rPr>
          <w:t>Table 2.6: BIP Event Days</w:t>
        </w:r>
        <w:r w:rsidR="007E378A">
          <w:rPr>
            <w:noProof/>
            <w:webHidden/>
          </w:rPr>
          <w:tab/>
        </w:r>
        <w:r w:rsidR="007E378A">
          <w:rPr>
            <w:noProof/>
            <w:webHidden/>
          </w:rPr>
          <w:fldChar w:fldCharType="begin"/>
        </w:r>
        <w:r w:rsidR="007E378A">
          <w:rPr>
            <w:noProof/>
            <w:webHidden/>
          </w:rPr>
          <w:instrText xml:space="preserve"> PAGEREF _Toc415489006 \h </w:instrText>
        </w:r>
        <w:r w:rsidR="007E378A">
          <w:rPr>
            <w:noProof/>
            <w:webHidden/>
          </w:rPr>
        </w:r>
        <w:r w:rsidR="007E378A">
          <w:rPr>
            <w:noProof/>
            <w:webHidden/>
          </w:rPr>
          <w:fldChar w:fldCharType="separate"/>
        </w:r>
        <w:r w:rsidR="007E378A">
          <w:rPr>
            <w:noProof/>
            <w:webHidden/>
          </w:rPr>
          <w:t>15</w:t>
        </w:r>
        <w:r w:rsidR="007E378A">
          <w:rPr>
            <w:noProof/>
            <w:webHidden/>
          </w:rPr>
          <w:fldChar w:fldCharType="end"/>
        </w:r>
      </w:hyperlink>
    </w:p>
    <w:p w14:paraId="472849F4"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07" w:history="1">
        <w:r w:rsidR="007E378A" w:rsidRPr="008F43A8">
          <w:rPr>
            <w:rStyle w:val="Hyperlink"/>
            <w:noProof/>
          </w:rPr>
          <w:t>Table 3.1: Descriptions of Terms included in the Ex Post Regression Equation</w:t>
        </w:r>
        <w:r w:rsidR="007E378A">
          <w:rPr>
            <w:noProof/>
            <w:webHidden/>
          </w:rPr>
          <w:tab/>
        </w:r>
        <w:r w:rsidR="007E378A">
          <w:rPr>
            <w:noProof/>
            <w:webHidden/>
          </w:rPr>
          <w:fldChar w:fldCharType="begin"/>
        </w:r>
        <w:r w:rsidR="007E378A">
          <w:rPr>
            <w:noProof/>
            <w:webHidden/>
          </w:rPr>
          <w:instrText xml:space="preserve"> PAGEREF _Toc415489007 \h </w:instrText>
        </w:r>
        <w:r w:rsidR="007E378A">
          <w:rPr>
            <w:noProof/>
            <w:webHidden/>
          </w:rPr>
        </w:r>
        <w:r w:rsidR="007E378A">
          <w:rPr>
            <w:noProof/>
            <w:webHidden/>
          </w:rPr>
          <w:fldChar w:fldCharType="separate"/>
        </w:r>
        <w:r w:rsidR="007E378A">
          <w:rPr>
            <w:noProof/>
            <w:webHidden/>
          </w:rPr>
          <w:t>16</w:t>
        </w:r>
        <w:r w:rsidR="007E378A">
          <w:rPr>
            <w:noProof/>
            <w:webHidden/>
          </w:rPr>
          <w:fldChar w:fldCharType="end"/>
        </w:r>
      </w:hyperlink>
    </w:p>
    <w:p w14:paraId="6FA9ED01"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08" w:history="1">
        <w:r w:rsidR="007E378A" w:rsidRPr="008F43A8">
          <w:rPr>
            <w:rStyle w:val="Hyperlink"/>
            <w:noProof/>
          </w:rPr>
          <w:t xml:space="preserve">Table 4.1: Average Hourly Load Impacts by Event, </w:t>
        </w:r>
        <w:r w:rsidR="007E378A" w:rsidRPr="008F43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_Toc415489008 \h </w:instrText>
        </w:r>
        <w:r w:rsidR="007E378A">
          <w:rPr>
            <w:noProof/>
            <w:webHidden/>
          </w:rPr>
        </w:r>
        <w:r w:rsidR="007E378A">
          <w:rPr>
            <w:noProof/>
            <w:webHidden/>
          </w:rPr>
          <w:fldChar w:fldCharType="separate"/>
        </w:r>
        <w:r w:rsidR="007E378A">
          <w:rPr>
            <w:noProof/>
            <w:webHidden/>
          </w:rPr>
          <w:t>18</w:t>
        </w:r>
        <w:r w:rsidR="007E378A">
          <w:rPr>
            <w:noProof/>
            <w:webHidden/>
          </w:rPr>
          <w:fldChar w:fldCharType="end"/>
        </w:r>
      </w:hyperlink>
    </w:p>
    <w:p w14:paraId="64F6379F"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09" w:history="1">
        <w:r w:rsidR="007E378A" w:rsidRPr="008F43A8">
          <w:rPr>
            <w:rStyle w:val="Hyperlink"/>
            <w:noProof/>
          </w:rPr>
          <w:t>Table 4.2: Average Hourly Observed Loads and FSLs by Event</w:t>
        </w:r>
        <w:r w:rsidR="007E378A" w:rsidRPr="008F43A8">
          <w:rPr>
            <w:rStyle w:val="Hyperlink"/>
            <w:i/>
            <w:noProof/>
          </w:rPr>
          <w:t>, PG&amp;E</w:t>
        </w:r>
        <w:r w:rsidR="007E378A">
          <w:rPr>
            <w:noProof/>
            <w:webHidden/>
          </w:rPr>
          <w:tab/>
        </w:r>
        <w:r w:rsidR="007E378A">
          <w:rPr>
            <w:noProof/>
            <w:webHidden/>
          </w:rPr>
          <w:fldChar w:fldCharType="begin"/>
        </w:r>
        <w:r w:rsidR="007E378A">
          <w:rPr>
            <w:noProof/>
            <w:webHidden/>
          </w:rPr>
          <w:instrText xml:space="preserve"> PAGEREF _Toc415489009 \h </w:instrText>
        </w:r>
        <w:r w:rsidR="007E378A">
          <w:rPr>
            <w:noProof/>
            <w:webHidden/>
          </w:rPr>
        </w:r>
        <w:r w:rsidR="007E378A">
          <w:rPr>
            <w:noProof/>
            <w:webHidden/>
          </w:rPr>
          <w:fldChar w:fldCharType="separate"/>
        </w:r>
        <w:r w:rsidR="007E378A">
          <w:rPr>
            <w:noProof/>
            <w:webHidden/>
          </w:rPr>
          <w:t>19</w:t>
        </w:r>
        <w:r w:rsidR="007E378A">
          <w:rPr>
            <w:noProof/>
            <w:webHidden/>
          </w:rPr>
          <w:fldChar w:fldCharType="end"/>
        </w:r>
      </w:hyperlink>
    </w:p>
    <w:p w14:paraId="54C0BD21"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10" w:history="1">
        <w:r w:rsidR="007E378A" w:rsidRPr="008F43A8">
          <w:rPr>
            <w:rStyle w:val="Hyperlink"/>
            <w:noProof/>
          </w:rPr>
          <w:t xml:space="preserve">Table 4.3: September 11, 2014 Load Impacts – PG&amp;E BIP, </w:t>
        </w:r>
        <w:r w:rsidR="007E378A" w:rsidRPr="008F43A8">
          <w:rPr>
            <w:rStyle w:val="Hyperlink"/>
            <w:i/>
            <w:noProof/>
          </w:rPr>
          <w:t>by Industry Group</w:t>
        </w:r>
        <w:r w:rsidR="007E378A">
          <w:rPr>
            <w:noProof/>
            <w:webHidden/>
          </w:rPr>
          <w:tab/>
        </w:r>
        <w:r w:rsidR="007E378A">
          <w:rPr>
            <w:noProof/>
            <w:webHidden/>
          </w:rPr>
          <w:fldChar w:fldCharType="begin"/>
        </w:r>
        <w:r w:rsidR="007E378A">
          <w:rPr>
            <w:noProof/>
            <w:webHidden/>
          </w:rPr>
          <w:instrText xml:space="preserve"> PAGEREF _Toc415489010 \h </w:instrText>
        </w:r>
        <w:r w:rsidR="007E378A">
          <w:rPr>
            <w:noProof/>
            <w:webHidden/>
          </w:rPr>
        </w:r>
        <w:r w:rsidR="007E378A">
          <w:rPr>
            <w:noProof/>
            <w:webHidden/>
          </w:rPr>
          <w:fldChar w:fldCharType="separate"/>
        </w:r>
        <w:r w:rsidR="007E378A">
          <w:rPr>
            <w:noProof/>
            <w:webHidden/>
          </w:rPr>
          <w:t>19</w:t>
        </w:r>
        <w:r w:rsidR="007E378A">
          <w:rPr>
            <w:noProof/>
            <w:webHidden/>
          </w:rPr>
          <w:fldChar w:fldCharType="end"/>
        </w:r>
      </w:hyperlink>
    </w:p>
    <w:p w14:paraId="01248A30"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11" w:history="1">
        <w:r w:rsidR="007E378A" w:rsidRPr="008F43A8">
          <w:rPr>
            <w:rStyle w:val="Hyperlink"/>
            <w:noProof/>
          </w:rPr>
          <w:t xml:space="preserve">Table 4.4: September 11, 2014 Load Impacts – PG&amp;E BIP, </w:t>
        </w:r>
        <w:r w:rsidR="007E378A" w:rsidRPr="008F43A8">
          <w:rPr>
            <w:rStyle w:val="Hyperlink"/>
            <w:i/>
            <w:noProof/>
          </w:rPr>
          <w:t>by LCA</w:t>
        </w:r>
        <w:r w:rsidR="007E378A">
          <w:rPr>
            <w:noProof/>
            <w:webHidden/>
          </w:rPr>
          <w:tab/>
        </w:r>
        <w:r w:rsidR="007E378A">
          <w:rPr>
            <w:noProof/>
            <w:webHidden/>
          </w:rPr>
          <w:fldChar w:fldCharType="begin"/>
        </w:r>
        <w:r w:rsidR="007E378A">
          <w:rPr>
            <w:noProof/>
            <w:webHidden/>
          </w:rPr>
          <w:instrText xml:space="preserve"> PAGEREF _Toc415489011 \h </w:instrText>
        </w:r>
        <w:r w:rsidR="007E378A">
          <w:rPr>
            <w:noProof/>
            <w:webHidden/>
          </w:rPr>
        </w:r>
        <w:r w:rsidR="007E378A">
          <w:rPr>
            <w:noProof/>
            <w:webHidden/>
          </w:rPr>
          <w:fldChar w:fldCharType="separate"/>
        </w:r>
        <w:r w:rsidR="007E378A">
          <w:rPr>
            <w:noProof/>
            <w:webHidden/>
          </w:rPr>
          <w:t>20</w:t>
        </w:r>
        <w:r w:rsidR="007E378A">
          <w:rPr>
            <w:noProof/>
            <w:webHidden/>
          </w:rPr>
          <w:fldChar w:fldCharType="end"/>
        </w:r>
      </w:hyperlink>
    </w:p>
    <w:p w14:paraId="71D5F5D4"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12" w:history="1">
        <w:r w:rsidR="007E378A" w:rsidRPr="008F43A8">
          <w:rPr>
            <w:rStyle w:val="Hyperlink"/>
            <w:noProof/>
          </w:rPr>
          <w:t xml:space="preserve">Table 4.5: BIP Hourly Load Impacts for the September 11, 2014 Event Day, </w:t>
        </w:r>
        <w:r w:rsidR="007E378A" w:rsidRPr="008F43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_Toc415489012 \h </w:instrText>
        </w:r>
        <w:r w:rsidR="007E378A">
          <w:rPr>
            <w:noProof/>
            <w:webHidden/>
          </w:rPr>
        </w:r>
        <w:r w:rsidR="007E378A">
          <w:rPr>
            <w:noProof/>
            <w:webHidden/>
          </w:rPr>
          <w:fldChar w:fldCharType="separate"/>
        </w:r>
        <w:r w:rsidR="007E378A">
          <w:rPr>
            <w:noProof/>
            <w:webHidden/>
          </w:rPr>
          <w:t>21</w:t>
        </w:r>
        <w:r w:rsidR="007E378A">
          <w:rPr>
            <w:noProof/>
            <w:webHidden/>
          </w:rPr>
          <w:fldChar w:fldCharType="end"/>
        </w:r>
      </w:hyperlink>
    </w:p>
    <w:p w14:paraId="3844AE2B"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13" w:history="1">
        <w:r w:rsidR="007E378A" w:rsidRPr="008F43A8">
          <w:rPr>
            <w:rStyle w:val="Hyperlink"/>
            <w:noProof/>
          </w:rPr>
          <w:t xml:space="preserve">Table 4.6: Average Event-day Hourly Load Impacts – SCE BIP, </w:t>
        </w:r>
        <w:r w:rsidR="007E378A" w:rsidRPr="008F43A8">
          <w:rPr>
            <w:rStyle w:val="Hyperlink"/>
            <w:i/>
            <w:noProof/>
          </w:rPr>
          <w:t>by Industry Group</w:t>
        </w:r>
        <w:r w:rsidR="007E378A">
          <w:rPr>
            <w:noProof/>
            <w:webHidden/>
          </w:rPr>
          <w:tab/>
        </w:r>
        <w:r w:rsidR="007E378A">
          <w:rPr>
            <w:noProof/>
            <w:webHidden/>
          </w:rPr>
          <w:fldChar w:fldCharType="begin"/>
        </w:r>
        <w:r w:rsidR="007E378A">
          <w:rPr>
            <w:noProof/>
            <w:webHidden/>
          </w:rPr>
          <w:instrText xml:space="preserve"> PAGEREF _Toc415489013 \h </w:instrText>
        </w:r>
        <w:r w:rsidR="007E378A">
          <w:rPr>
            <w:noProof/>
            <w:webHidden/>
          </w:rPr>
        </w:r>
        <w:r w:rsidR="007E378A">
          <w:rPr>
            <w:noProof/>
            <w:webHidden/>
          </w:rPr>
          <w:fldChar w:fldCharType="separate"/>
        </w:r>
        <w:r w:rsidR="007E378A">
          <w:rPr>
            <w:noProof/>
            <w:webHidden/>
          </w:rPr>
          <w:t>24</w:t>
        </w:r>
        <w:r w:rsidR="007E378A">
          <w:rPr>
            <w:noProof/>
            <w:webHidden/>
          </w:rPr>
          <w:fldChar w:fldCharType="end"/>
        </w:r>
      </w:hyperlink>
    </w:p>
    <w:p w14:paraId="3DDA7912"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14" w:history="1">
        <w:r w:rsidR="007E378A" w:rsidRPr="008F43A8">
          <w:rPr>
            <w:rStyle w:val="Hyperlink"/>
            <w:noProof/>
          </w:rPr>
          <w:t>Table 4.7: Average Hourly Observed Loads and FSLs</w:t>
        </w:r>
        <w:r w:rsidR="007E378A" w:rsidRPr="008F43A8">
          <w:rPr>
            <w:rStyle w:val="Hyperlink"/>
            <w:i/>
            <w:noProof/>
          </w:rPr>
          <w:t>, SCE</w:t>
        </w:r>
        <w:r w:rsidR="007E378A">
          <w:rPr>
            <w:noProof/>
            <w:webHidden/>
          </w:rPr>
          <w:tab/>
        </w:r>
        <w:r w:rsidR="007E378A">
          <w:rPr>
            <w:noProof/>
            <w:webHidden/>
          </w:rPr>
          <w:fldChar w:fldCharType="begin"/>
        </w:r>
        <w:r w:rsidR="007E378A">
          <w:rPr>
            <w:noProof/>
            <w:webHidden/>
          </w:rPr>
          <w:instrText xml:space="preserve"> PAGEREF _Toc415489014 \h </w:instrText>
        </w:r>
        <w:r w:rsidR="007E378A">
          <w:rPr>
            <w:noProof/>
            <w:webHidden/>
          </w:rPr>
        </w:r>
        <w:r w:rsidR="007E378A">
          <w:rPr>
            <w:noProof/>
            <w:webHidden/>
          </w:rPr>
          <w:fldChar w:fldCharType="separate"/>
        </w:r>
        <w:r w:rsidR="007E378A">
          <w:rPr>
            <w:noProof/>
            <w:webHidden/>
          </w:rPr>
          <w:t>24</w:t>
        </w:r>
        <w:r w:rsidR="007E378A">
          <w:rPr>
            <w:noProof/>
            <w:webHidden/>
          </w:rPr>
          <w:fldChar w:fldCharType="end"/>
        </w:r>
      </w:hyperlink>
    </w:p>
    <w:p w14:paraId="01636C07"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15" w:history="1">
        <w:r w:rsidR="007E378A" w:rsidRPr="008F43A8">
          <w:rPr>
            <w:rStyle w:val="Hyperlink"/>
            <w:noProof/>
          </w:rPr>
          <w:t xml:space="preserve">Table 4.8: Average Event-day Hourly Load Impacts – SCE BIP, </w:t>
        </w:r>
        <w:r w:rsidR="007E378A" w:rsidRPr="008F43A8">
          <w:rPr>
            <w:rStyle w:val="Hyperlink"/>
            <w:i/>
            <w:noProof/>
          </w:rPr>
          <w:t>by LCA</w:t>
        </w:r>
        <w:r w:rsidR="007E378A">
          <w:rPr>
            <w:noProof/>
            <w:webHidden/>
          </w:rPr>
          <w:tab/>
        </w:r>
        <w:r w:rsidR="007E378A">
          <w:rPr>
            <w:noProof/>
            <w:webHidden/>
          </w:rPr>
          <w:fldChar w:fldCharType="begin"/>
        </w:r>
        <w:r w:rsidR="007E378A">
          <w:rPr>
            <w:noProof/>
            <w:webHidden/>
          </w:rPr>
          <w:instrText xml:space="preserve"> PAGEREF _Toc415489015 \h </w:instrText>
        </w:r>
        <w:r w:rsidR="007E378A">
          <w:rPr>
            <w:noProof/>
            <w:webHidden/>
          </w:rPr>
        </w:r>
        <w:r w:rsidR="007E378A">
          <w:rPr>
            <w:noProof/>
            <w:webHidden/>
          </w:rPr>
          <w:fldChar w:fldCharType="separate"/>
        </w:r>
        <w:r w:rsidR="007E378A">
          <w:rPr>
            <w:noProof/>
            <w:webHidden/>
          </w:rPr>
          <w:t>25</w:t>
        </w:r>
        <w:r w:rsidR="007E378A">
          <w:rPr>
            <w:noProof/>
            <w:webHidden/>
          </w:rPr>
          <w:fldChar w:fldCharType="end"/>
        </w:r>
      </w:hyperlink>
    </w:p>
    <w:p w14:paraId="5E33FCC4"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16" w:history="1">
        <w:r w:rsidR="007E378A" w:rsidRPr="008F43A8">
          <w:rPr>
            <w:rStyle w:val="Hyperlink"/>
            <w:noProof/>
          </w:rPr>
          <w:t xml:space="preserve">Table 4.9: BIP Hourly Load Impacts for the February 6, 2014 Event Day, </w:t>
        </w:r>
        <w:r w:rsidR="007E378A" w:rsidRPr="008F43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_Toc415489016 \h </w:instrText>
        </w:r>
        <w:r w:rsidR="007E378A">
          <w:rPr>
            <w:noProof/>
            <w:webHidden/>
          </w:rPr>
        </w:r>
        <w:r w:rsidR="007E378A">
          <w:rPr>
            <w:noProof/>
            <w:webHidden/>
          </w:rPr>
          <w:fldChar w:fldCharType="separate"/>
        </w:r>
        <w:r w:rsidR="007E378A">
          <w:rPr>
            <w:noProof/>
            <w:webHidden/>
          </w:rPr>
          <w:t>25</w:t>
        </w:r>
        <w:r w:rsidR="007E378A">
          <w:rPr>
            <w:noProof/>
            <w:webHidden/>
          </w:rPr>
          <w:fldChar w:fldCharType="end"/>
        </w:r>
      </w:hyperlink>
    </w:p>
    <w:p w14:paraId="0B74DC33"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17" w:history="1">
        <w:r w:rsidR="007E378A" w:rsidRPr="008F43A8">
          <w:rPr>
            <w:rStyle w:val="Hyperlink"/>
            <w:noProof/>
          </w:rPr>
          <w:t xml:space="preserve">Table 4.10: Average Hourly Load Impacts by Event, </w:t>
        </w:r>
        <w:r w:rsidR="007E378A" w:rsidRPr="008F43A8">
          <w:rPr>
            <w:rStyle w:val="Hyperlink"/>
            <w:i/>
            <w:noProof/>
          </w:rPr>
          <w:t>SDG&amp;E</w:t>
        </w:r>
        <w:r w:rsidR="007E378A">
          <w:rPr>
            <w:noProof/>
            <w:webHidden/>
          </w:rPr>
          <w:tab/>
        </w:r>
        <w:r w:rsidR="007E378A">
          <w:rPr>
            <w:noProof/>
            <w:webHidden/>
          </w:rPr>
          <w:fldChar w:fldCharType="begin"/>
        </w:r>
        <w:r w:rsidR="007E378A">
          <w:rPr>
            <w:noProof/>
            <w:webHidden/>
          </w:rPr>
          <w:instrText xml:space="preserve"> PAGEREF _Toc415489017 \h </w:instrText>
        </w:r>
        <w:r w:rsidR="007E378A">
          <w:rPr>
            <w:noProof/>
            <w:webHidden/>
          </w:rPr>
        </w:r>
        <w:r w:rsidR="007E378A">
          <w:rPr>
            <w:noProof/>
            <w:webHidden/>
          </w:rPr>
          <w:fldChar w:fldCharType="separate"/>
        </w:r>
        <w:r w:rsidR="007E378A">
          <w:rPr>
            <w:noProof/>
            <w:webHidden/>
          </w:rPr>
          <w:t>27</w:t>
        </w:r>
        <w:r w:rsidR="007E378A">
          <w:rPr>
            <w:noProof/>
            <w:webHidden/>
          </w:rPr>
          <w:fldChar w:fldCharType="end"/>
        </w:r>
      </w:hyperlink>
    </w:p>
    <w:p w14:paraId="1D304C2C"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18" w:history="1">
        <w:r w:rsidR="007E378A" w:rsidRPr="008F43A8">
          <w:rPr>
            <w:rStyle w:val="Hyperlink"/>
            <w:noProof/>
          </w:rPr>
          <w:t>Table 4.11: Average Hourly Observed Loads and FSLs</w:t>
        </w:r>
        <w:r w:rsidR="007E378A" w:rsidRPr="008F43A8">
          <w:rPr>
            <w:rStyle w:val="Hyperlink"/>
            <w:i/>
            <w:noProof/>
          </w:rPr>
          <w:t>, SDG&amp;E</w:t>
        </w:r>
        <w:r w:rsidR="007E378A">
          <w:rPr>
            <w:noProof/>
            <w:webHidden/>
          </w:rPr>
          <w:tab/>
        </w:r>
        <w:r w:rsidR="007E378A">
          <w:rPr>
            <w:noProof/>
            <w:webHidden/>
          </w:rPr>
          <w:fldChar w:fldCharType="begin"/>
        </w:r>
        <w:r w:rsidR="007E378A">
          <w:rPr>
            <w:noProof/>
            <w:webHidden/>
          </w:rPr>
          <w:instrText xml:space="preserve"> PAGEREF _Toc415489018 \h </w:instrText>
        </w:r>
        <w:r w:rsidR="007E378A">
          <w:rPr>
            <w:noProof/>
            <w:webHidden/>
          </w:rPr>
        </w:r>
        <w:r w:rsidR="007E378A">
          <w:rPr>
            <w:noProof/>
            <w:webHidden/>
          </w:rPr>
          <w:fldChar w:fldCharType="separate"/>
        </w:r>
        <w:r w:rsidR="007E378A">
          <w:rPr>
            <w:noProof/>
            <w:webHidden/>
          </w:rPr>
          <w:t>27</w:t>
        </w:r>
        <w:r w:rsidR="007E378A">
          <w:rPr>
            <w:noProof/>
            <w:webHidden/>
          </w:rPr>
          <w:fldChar w:fldCharType="end"/>
        </w:r>
      </w:hyperlink>
    </w:p>
    <w:p w14:paraId="60E6FDF0"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19" w:history="1">
        <w:r w:rsidR="007E378A" w:rsidRPr="008F43A8">
          <w:rPr>
            <w:rStyle w:val="Hyperlink"/>
            <w:noProof/>
          </w:rPr>
          <w:t xml:space="preserve">Table 4.12: May 16, 2014 Load Impacts – SDG&amp;E BIP, </w:t>
        </w:r>
        <w:r w:rsidR="007E378A" w:rsidRPr="008F43A8">
          <w:rPr>
            <w:rStyle w:val="Hyperlink"/>
            <w:i/>
            <w:noProof/>
          </w:rPr>
          <w:t>by Industry Group</w:t>
        </w:r>
        <w:r w:rsidR="007E378A">
          <w:rPr>
            <w:noProof/>
            <w:webHidden/>
          </w:rPr>
          <w:tab/>
        </w:r>
        <w:r w:rsidR="007E378A">
          <w:rPr>
            <w:noProof/>
            <w:webHidden/>
          </w:rPr>
          <w:fldChar w:fldCharType="begin"/>
        </w:r>
        <w:r w:rsidR="007E378A">
          <w:rPr>
            <w:noProof/>
            <w:webHidden/>
          </w:rPr>
          <w:instrText xml:space="preserve"> PAGEREF _Toc415489019 \h </w:instrText>
        </w:r>
        <w:r w:rsidR="007E378A">
          <w:rPr>
            <w:noProof/>
            <w:webHidden/>
          </w:rPr>
        </w:r>
        <w:r w:rsidR="007E378A">
          <w:rPr>
            <w:noProof/>
            <w:webHidden/>
          </w:rPr>
          <w:fldChar w:fldCharType="separate"/>
        </w:r>
        <w:r w:rsidR="007E378A">
          <w:rPr>
            <w:noProof/>
            <w:webHidden/>
          </w:rPr>
          <w:t>27</w:t>
        </w:r>
        <w:r w:rsidR="007E378A">
          <w:rPr>
            <w:noProof/>
            <w:webHidden/>
          </w:rPr>
          <w:fldChar w:fldCharType="end"/>
        </w:r>
      </w:hyperlink>
    </w:p>
    <w:p w14:paraId="18A8C4BE"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20" w:history="1">
        <w:r w:rsidR="007E378A" w:rsidRPr="008F43A8">
          <w:rPr>
            <w:rStyle w:val="Hyperlink"/>
            <w:noProof/>
          </w:rPr>
          <w:t xml:space="preserve">Table 4.13: BIP Hourly Load Impacts for the May 16, 2014 Event Day, </w:t>
        </w:r>
        <w:r w:rsidR="007E378A" w:rsidRPr="008F43A8">
          <w:rPr>
            <w:rStyle w:val="Hyperlink"/>
            <w:i/>
            <w:noProof/>
          </w:rPr>
          <w:t>SDG&amp;E</w:t>
        </w:r>
        <w:r w:rsidR="007E378A">
          <w:rPr>
            <w:noProof/>
            <w:webHidden/>
          </w:rPr>
          <w:tab/>
        </w:r>
        <w:r w:rsidR="007E378A">
          <w:rPr>
            <w:noProof/>
            <w:webHidden/>
          </w:rPr>
          <w:fldChar w:fldCharType="begin"/>
        </w:r>
        <w:r w:rsidR="007E378A">
          <w:rPr>
            <w:noProof/>
            <w:webHidden/>
          </w:rPr>
          <w:instrText xml:space="preserve"> PAGEREF _Toc415489020 \h </w:instrText>
        </w:r>
        <w:r w:rsidR="007E378A">
          <w:rPr>
            <w:noProof/>
            <w:webHidden/>
          </w:rPr>
        </w:r>
        <w:r w:rsidR="007E378A">
          <w:rPr>
            <w:noProof/>
            <w:webHidden/>
          </w:rPr>
          <w:fldChar w:fldCharType="separate"/>
        </w:r>
        <w:r w:rsidR="007E378A">
          <w:rPr>
            <w:noProof/>
            <w:webHidden/>
          </w:rPr>
          <w:t>28</w:t>
        </w:r>
        <w:r w:rsidR="007E378A">
          <w:rPr>
            <w:noProof/>
            <w:webHidden/>
          </w:rPr>
          <w:fldChar w:fldCharType="end"/>
        </w:r>
      </w:hyperlink>
    </w:p>
    <w:p w14:paraId="1D907DB9"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21" w:history="1">
        <w:r w:rsidR="007E378A" w:rsidRPr="008F43A8">
          <w:rPr>
            <w:rStyle w:val="Hyperlink"/>
            <w:noProof/>
          </w:rPr>
          <w:t>Table 5.1: Descriptions of Terms included in the Ex Ante Regression Equation</w:t>
        </w:r>
        <w:r w:rsidR="007E378A">
          <w:rPr>
            <w:noProof/>
            <w:webHidden/>
          </w:rPr>
          <w:tab/>
        </w:r>
        <w:r w:rsidR="007E378A">
          <w:rPr>
            <w:noProof/>
            <w:webHidden/>
          </w:rPr>
          <w:fldChar w:fldCharType="begin"/>
        </w:r>
        <w:r w:rsidR="007E378A">
          <w:rPr>
            <w:noProof/>
            <w:webHidden/>
          </w:rPr>
          <w:instrText xml:space="preserve"> PAGEREF _Toc415489021 \h </w:instrText>
        </w:r>
        <w:r w:rsidR="007E378A">
          <w:rPr>
            <w:noProof/>
            <w:webHidden/>
          </w:rPr>
        </w:r>
        <w:r w:rsidR="007E378A">
          <w:rPr>
            <w:noProof/>
            <w:webHidden/>
          </w:rPr>
          <w:fldChar w:fldCharType="separate"/>
        </w:r>
        <w:r w:rsidR="007E378A">
          <w:rPr>
            <w:noProof/>
            <w:webHidden/>
          </w:rPr>
          <w:t>32</w:t>
        </w:r>
        <w:r w:rsidR="007E378A">
          <w:rPr>
            <w:noProof/>
            <w:webHidden/>
          </w:rPr>
          <w:fldChar w:fldCharType="end"/>
        </w:r>
      </w:hyperlink>
    </w:p>
    <w:p w14:paraId="4B33EDBC"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22" w:history="1">
        <w:r w:rsidR="007E378A" w:rsidRPr="008F43A8">
          <w:rPr>
            <w:rStyle w:val="Hyperlink"/>
            <w:noProof/>
          </w:rPr>
          <w:t xml:space="preserve">Table 5.2: Per-customer Ex Ante Load Impacts, </w:t>
        </w:r>
        <w:r w:rsidR="007E378A" w:rsidRPr="008F43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_Toc415489022 \h </w:instrText>
        </w:r>
        <w:r w:rsidR="007E378A">
          <w:rPr>
            <w:noProof/>
            <w:webHidden/>
          </w:rPr>
        </w:r>
        <w:r w:rsidR="007E378A">
          <w:rPr>
            <w:noProof/>
            <w:webHidden/>
          </w:rPr>
          <w:fldChar w:fldCharType="separate"/>
        </w:r>
        <w:r w:rsidR="007E378A">
          <w:rPr>
            <w:noProof/>
            <w:webHidden/>
          </w:rPr>
          <w:t>38</w:t>
        </w:r>
        <w:r w:rsidR="007E378A">
          <w:rPr>
            <w:noProof/>
            <w:webHidden/>
          </w:rPr>
          <w:fldChar w:fldCharType="end"/>
        </w:r>
      </w:hyperlink>
    </w:p>
    <w:p w14:paraId="223422BC"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23" w:history="1">
        <w:r w:rsidR="007E378A" w:rsidRPr="008F43A8">
          <w:rPr>
            <w:rStyle w:val="Hyperlink"/>
            <w:noProof/>
          </w:rPr>
          <w:t xml:space="preserve">Table 5.3: Per-customer Ex Ante Load Impacts, </w:t>
        </w:r>
        <w:r w:rsidR="007E378A" w:rsidRPr="008F43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_Toc415489023 \h </w:instrText>
        </w:r>
        <w:r w:rsidR="007E378A">
          <w:rPr>
            <w:noProof/>
            <w:webHidden/>
          </w:rPr>
        </w:r>
        <w:r w:rsidR="007E378A">
          <w:rPr>
            <w:noProof/>
            <w:webHidden/>
          </w:rPr>
          <w:fldChar w:fldCharType="separate"/>
        </w:r>
        <w:r w:rsidR="007E378A">
          <w:rPr>
            <w:noProof/>
            <w:webHidden/>
          </w:rPr>
          <w:t>42</w:t>
        </w:r>
        <w:r w:rsidR="007E378A">
          <w:rPr>
            <w:noProof/>
            <w:webHidden/>
          </w:rPr>
          <w:fldChar w:fldCharType="end"/>
        </w:r>
      </w:hyperlink>
    </w:p>
    <w:p w14:paraId="45254D2E"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24" w:history="1">
        <w:r w:rsidR="007E378A" w:rsidRPr="008F43A8">
          <w:rPr>
            <w:rStyle w:val="Hyperlink"/>
            <w:noProof/>
          </w:rPr>
          <w:t xml:space="preserve">Table 5.4: Per-customer Ex Ante Load Impacts, </w:t>
        </w:r>
        <w:r w:rsidR="007E378A" w:rsidRPr="008F43A8">
          <w:rPr>
            <w:rStyle w:val="Hyperlink"/>
            <w:i/>
            <w:noProof/>
          </w:rPr>
          <w:t>SDG&amp;E</w:t>
        </w:r>
        <w:r w:rsidR="007E378A">
          <w:rPr>
            <w:noProof/>
            <w:webHidden/>
          </w:rPr>
          <w:tab/>
        </w:r>
        <w:r w:rsidR="007E378A">
          <w:rPr>
            <w:noProof/>
            <w:webHidden/>
          </w:rPr>
          <w:fldChar w:fldCharType="begin"/>
        </w:r>
        <w:r w:rsidR="007E378A">
          <w:rPr>
            <w:noProof/>
            <w:webHidden/>
          </w:rPr>
          <w:instrText xml:space="preserve"> PAGEREF _Toc415489024 \h </w:instrText>
        </w:r>
        <w:r w:rsidR="007E378A">
          <w:rPr>
            <w:noProof/>
            <w:webHidden/>
          </w:rPr>
        </w:r>
        <w:r w:rsidR="007E378A">
          <w:rPr>
            <w:noProof/>
            <w:webHidden/>
          </w:rPr>
          <w:fldChar w:fldCharType="separate"/>
        </w:r>
        <w:r w:rsidR="007E378A">
          <w:rPr>
            <w:noProof/>
            <w:webHidden/>
          </w:rPr>
          <w:t>43</w:t>
        </w:r>
        <w:r w:rsidR="007E378A">
          <w:rPr>
            <w:noProof/>
            <w:webHidden/>
          </w:rPr>
          <w:fldChar w:fldCharType="end"/>
        </w:r>
      </w:hyperlink>
    </w:p>
    <w:p w14:paraId="430EB11B"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25" w:history="1">
        <w:r w:rsidR="007E378A" w:rsidRPr="008F43A8">
          <w:rPr>
            <w:rStyle w:val="Hyperlink"/>
            <w:noProof/>
          </w:rPr>
          <w:t xml:space="preserve">Table 6.1: Comparison of Average Event-day Ex Post Impacts (in MW) in PY 2013 and PY 2014, </w:t>
        </w:r>
        <w:r w:rsidR="007E378A" w:rsidRPr="008F43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_Toc415489025 \h </w:instrText>
        </w:r>
        <w:r w:rsidR="007E378A">
          <w:rPr>
            <w:noProof/>
            <w:webHidden/>
          </w:rPr>
        </w:r>
        <w:r w:rsidR="007E378A">
          <w:rPr>
            <w:noProof/>
            <w:webHidden/>
          </w:rPr>
          <w:fldChar w:fldCharType="separate"/>
        </w:r>
        <w:r w:rsidR="007E378A">
          <w:rPr>
            <w:noProof/>
            <w:webHidden/>
          </w:rPr>
          <w:t>44</w:t>
        </w:r>
        <w:r w:rsidR="007E378A">
          <w:rPr>
            <w:noProof/>
            <w:webHidden/>
          </w:rPr>
          <w:fldChar w:fldCharType="end"/>
        </w:r>
      </w:hyperlink>
    </w:p>
    <w:p w14:paraId="25AD3905"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26" w:history="1">
        <w:r w:rsidR="007E378A" w:rsidRPr="008F43A8">
          <w:rPr>
            <w:rStyle w:val="Hyperlink"/>
            <w:noProof/>
          </w:rPr>
          <w:t xml:space="preserve">Table 6.2: Comparison of Ex Ante Impacts from PY 2013 and PY 2014 Studies, </w:t>
        </w:r>
        <w:r w:rsidR="007E378A" w:rsidRPr="008F43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_Toc415489026 \h </w:instrText>
        </w:r>
        <w:r w:rsidR="007E378A">
          <w:rPr>
            <w:noProof/>
            <w:webHidden/>
          </w:rPr>
        </w:r>
        <w:r w:rsidR="007E378A">
          <w:rPr>
            <w:noProof/>
            <w:webHidden/>
          </w:rPr>
          <w:fldChar w:fldCharType="separate"/>
        </w:r>
        <w:r w:rsidR="007E378A">
          <w:rPr>
            <w:noProof/>
            <w:webHidden/>
          </w:rPr>
          <w:t>45</w:t>
        </w:r>
        <w:r w:rsidR="007E378A">
          <w:rPr>
            <w:noProof/>
            <w:webHidden/>
          </w:rPr>
          <w:fldChar w:fldCharType="end"/>
        </w:r>
      </w:hyperlink>
    </w:p>
    <w:p w14:paraId="017130FD"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27" w:history="1">
        <w:r w:rsidR="007E378A" w:rsidRPr="008F43A8">
          <w:rPr>
            <w:rStyle w:val="Hyperlink"/>
            <w:noProof/>
          </w:rPr>
          <w:t xml:space="preserve">Table 6.3 Comparison of Previous Ex Ante and Current Ex Post Impacts, </w:t>
        </w:r>
        <w:r w:rsidR="007E378A" w:rsidRPr="008F43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_Toc415489027 \h </w:instrText>
        </w:r>
        <w:r w:rsidR="007E378A">
          <w:rPr>
            <w:noProof/>
            <w:webHidden/>
          </w:rPr>
        </w:r>
        <w:r w:rsidR="007E378A">
          <w:rPr>
            <w:noProof/>
            <w:webHidden/>
          </w:rPr>
          <w:fldChar w:fldCharType="separate"/>
        </w:r>
        <w:r w:rsidR="007E378A">
          <w:rPr>
            <w:noProof/>
            <w:webHidden/>
          </w:rPr>
          <w:t>45</w:t>
        </w:r>
        <w:r w:rsidR="007E378A">
          <w:rPr>
            <w:noProof/>
            <w:webHidden/>
          </w:rPr>
          <w:fldChar w:fldCharType="end"/>
        </w:r>
      </w:hyperlink>
    </w:p>
    <w:p w14:paraId="6E7107EA"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28" w:history="1">
        <w:r w:rsidR="007E378A" w:rsidRPr="008F43A8">
          <w:rPr>
            <w:rStyle w:val="Hyperlink"/>
            <w:noProof/>
          </w:rPr>
          <w:t xml:space="preserve">Table 6.4 Comparison of Current Ex Post Ante and Current Ex Ante Impacts, </w:t>
        </w:r>
        <w:r w:rsidR="007E378A" w:rsidRPr="008F43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_Toc415489028 \h </w:instrText>
        </w:r>
        <w:r w:rsidR="007E378A">
          <w:rPr>
            <w:noProof/>
            <w:webHidden/>
          </w:rPr>
        </w:r>
        <w:r w:rsidR="007E378A">
          <w:rPr>
            <w:noProof/>
            <w:webHidden/>
          </w:rPr>
          <w:fldChar w:fldCharType="separate"/>
        </w:r>
        <w:r w:rsidR="007E378A">
          <w:rPr>
            <w:noProof/>
            <w:webHidden/>
          </w:rPr>
          <w:t>46</w:t>
        </w:r>
        <w:r w:rsidR="007E378A">
          <w:rPr>
            <w:noProof/>
            <w:webHidden/>
          </w:rPr>
          <w:fldChar w:fldCharType="end"/>
        </w:r>
      </w:hyperlink>
    </w:p>
    <w:p w14:paraId="01498A15"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29" w:history="1">
        <w:r w:rsidR="007E378A" w:rsidRPr="008F43A8">
          <w:rPr>
            <w:rStyle w:val="Hyperlink"/>
            <w:noProof/>
          </w:rPr>
          <w:t>Table 6.5: PG&amp;E Ex Post versus Ex Ante Factors</w:t>
        </w:r>
        <w:r w:rsidR="007E378A">
          <w:rPr>
            <w:noProof/>
            <w:webHidden/>
          </w:rPr>
          <w:tab/>
        </w:r>
        <w:r w:rsidR="007E378A">
          <w:rPr>
            <w:noProof/>
            <w:webHidden/>
          </w:rPr>
          <w:fldChar w:fldCharType="begin"/>
        </w:r>
        <w:r w:rsidR="007E378A">
          <w:rPr>
            <w:noProof/>
            <w:webHidden/>
          </w:rPr>
          <w:instrText xml:space="preserve"> PAGEREF _Toc415489029 \h </w:instrText>
        </w:r>
        <w:r w:rsidR="007E378A">
          <w:rPr>
            <w:noProof/>
            <w:webHidden/>
          </w:rPr>
        </w:r>
        <w:r w:rsidR="007E378A">
          <w:rPr>
            <w:noProof/>
            <w:webHidden/>
          </w:rPr>
          <w:fldChar w:fldCharType="separate"/>
        </w:r>
        <w:r w:rsidR="007E378A">
          <w:rPr>
            <w:noProof/>
            <w:webHidden/>
          </w:rPr>
          <w:t>47</w:t>
        </w:r>
        <w:r w:rsidR="007E378A">
          <w:rPr>
            <w:noProof/>
            <w:webHidden/>
          </w:rPr>
          <w:fldChar w:fldCharType="end"/>
        </w:r>
      </w:hyperlink>
    </w:p>
    <w:p w14:paraId="7D430032"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30" w:history="1">
        <w:r w:rsidR="007E378A" w:rsidRPr="008F43A8">
          <w:rPr>
            <w:rStyle w:val="Hyperlink"/>
            <w:noProof/>
          </w:rPr>
          <w:t xml:space="preserve">Table 6.6 Comparison of Average Event-day Ex Post Impacts (in MW) in PY 2013 and PY 2014, </w:t>
        </w:r>
        <w:r w:rsidR="007E378A" w:rsidRPr="008F43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_Toc415489030 \h </w:instrText>
        </w:r>
        <w:r w:rsidR="007E378A">
          <w:rPr>
            <w:noProof/>
            <w:webHidden/>
          </w:rPr>
        </w:r>
        <w:r w:rsidR="007E378A">
          <w:rPr>
            <w:noProof/>
            <w:webHidden/>
          </w:rPr>
          <w:fldChar w:fldCharType="separate"/>
        </w:r>
        <w:r w:rsidR="007E378A">
          <w:rPr>
            <w:noProof/>
            <w:webHidden/>
          </w:rPr>
          <w:t>48</w:t>
        </w:r>
        <w:r w:rsidR="007E378A">
          <w:rPr>
            <w:noProof/>
            <w:webHidden/>
          </w:rPr>
          <w:fldChar w:fldCharType="end"/>
        </w:r>
      </w:hyperlink>
    </w:p>
    <w:p w14:paraId="0E6B83B1"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31" w:history="1">
        <w:r w:rsidR="007E378A" w:rsidRPr="008F43A8">
          <w:rPr>
            <w:rStyle w:val="Hyperlink"/>
            <w:noProof/>
          </w:rPr>
          <w:t xml:space="preserve">Table 6.7: Comparison of Ex Ante Impacts from PY 2013 and PY 2014 Studies, </w:t>
        </w:r>
        <w:r w:rsidR="007E378A" w:rsidRPr="008F43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_Toc415489031 \h </w:instrText>
        </w:r>
        <w:r w:rsidR="007E378A">
          <w:rPr>
            <w:noProof/>
            <w:webHidden/>
          </w:rPr>
        </w:r>
        <w:r w:rsidR="007E378A">
          <w:rPr>
            <w:noProof/>
            <w:webHidden/>
          </w:rPr>
          <w:fldChar w:fldCharType="separate"/>
        </w:r>
        <w:r w:rsidR="007E378A">
          <w:rPr>
            <w:noProof/>
            <w:webHidden/>
          </w:rPr>
          <w:t>48</w:t>
        </w:r>
        <w:r w:rsidR="007E378A">
          <w:rPr>
            <w:noProof/>
            <w:webHidden/>
          </w:rPr>
          <w:fldChar w:fldCharType="end"/>
        </w:r>
      </w:hyperlink>
    </w:p>
    <w:p w14:paraId="4DA7D02D"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32" w:history="1">
        <w:r w:rsidR="007E378A" w:rsidRPr="008F43A8">
          <w:rPr>
            <w:rStyle w:val="Hyperlink"/>
            <w:noProof/>
          </w:rPr>
          <w:t xml:space="preserve">Table 6.8 Comparison of Previous Ex Ante and Current Ex Post Impacts, </w:t>
        </w:r>
        <w:r w:rsidR="007E378A" w:rsidRPr="008F43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_Toc415489032 \h </w:instrText>
        </w:r>
        <w:r w:rsidR="007E378A">
          <w:rPr>
            <w:noProof/>
            <w:webHidden/>
          </w:rPr>
        </w:r>
        <w:r w:rsidR="007E378A">
          <w:rPr>
            <w:noProof/>
            <w:webHidden/>
          </w:rPr>
          <w:fldChar w:fldCharType="separate"/>
        </w:r>
        <w:r w:rsidR="007E378A">
          <w:rPr>
            <w:noProof/>
            <w:webHidden/>
          </w:rPr>
          <w:t>49</w:t>
        </w:r>
        <w:r w:rsidR="007E378A">
          <w:rPr>
            <w:noProof/>
            <w:webHidden/>
          </w:rPr>
          <w:fldChar w:fldCharType="end"/>
        </w:r>
      </w:hyperlink>
    </w:p>
    <w:p w14:paraId="39EA3500"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33" w:history="1">
        <w:r w:rsidR="007E378A" w:rsidRPr="008F43A8">
          <w:rPr>
            <w:rStyle w:val="Hyperlink"/>
            <w:noProof/>
          </w:rPr>
          <w:t xml:space="preserve">Table 6.9 Comparison of Current Ex Post Ante and Current Ex Ante Impacts, </w:t>
        </w:r>
        <w:r w:rsidR="007E378A" w:rsidRPr="008F43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_Toc415489033 \h </w:instrText>
        </w:r>
        <w:r w:rsidR="007E378A">
          <w:rPr>
            <w:noProof/>
            <w:webHidden/>
          </w:rPr>
        </w:r>
        <w:r w:rsidR="007E378A">
          <w:rPr>
            <w:noProof/>
            <w:webHidden/>
          </w:rPr>
          <w:fldChar w:fldCharType="separate"/>
        </w:r>
        <w:r w:rsidR="007E378A">
          <w:rPr>
            <w:noProof/>
            <w:webHidden/>
          </w:rPr>
          <w:t>49</w:t>
        </w:r>
        <w:r w:rsidR="007E378A">
          <w:rPr>
            <w:noProof/>
            <w:webHidden/>
          </w:rPr>
          <w:fldChar w:fldCharType="end"/>
        </w:r>
      </w:hyperlink>
    </w:p>
    <w:p w14:paraId="690014FE"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34" w:history="1">
        <w:r w:rsidR="007E378A" w:rsidRPr="008F43A8">
          <w:rPr>
            <w:rStyle w:val="Hyperlink"/>
            <w:noProof/>
          </w:rPr>
          <w:t>Table 6.10: SCE Ex Post versus Ex Ante Factors</w:t>
        </w:r>
        <w:r w:rsidR="007E378A">
          <w:rPr>
            <w:noProof/>
            <w:webHidden/>
          </w:rPr>
          <w:tab/>
        </w:r>
        <w:r w:rsidR="007E378A">
          <w:rPr>
            <w:noProof/>
            <w:webHidden/>
          </w:rPr>
          <w:fldChar w:fldCharType="begin"/>
        </w:r>
        <w:r w:rsidR="007E378A">
          <w:rPr>
            <w:noProof/>
            <w:webHidden/>
          </w:rPr>
          <w:instrText xml:space="preserve"> PAGEREF _Toc415489034 \h </w:instrText>
        </w:r>
        <w:r w:rsidR="007E378A">
          <w:rPr>
            <w:noProof/>
            <w:webHidden/>
          </w:rPr>
        </w:r>
        <w:r w:rsidR="007E378A">
          <w:rPr>
            <w:noProof/>
            <w:webHidden/>
          </w:rPr>
          <w:fldChar w:fldCharType="separate"/>
        </w:r>
        <w:r w:rsidR="007E378A">
          <w:rPr>
            <w:noProof/>
            <w:webHidden/>
          </w:rPr>
          <w:t>50</w:t>
        </w:r>
        <w:r w:rsidR="007E378A">
          <w:rPr>
            <w:noProof/>
            <w:webHidden/>
          </w:rPr>
          <w:fldChar w:fldCharType="end"/>
        </w:r>
      </w:hyperlink>
    </w:p>
    <w:p w14:paraId="433245DD"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35" w:history="1">
        <w:r w:rsidR="007E378A" w:rsidRPr="008F43A8">
          <w:rPr>
            <w:rStyle w:val="Hyperlink"/>
            <w:noProof/>
          </w:rPr>
          <w:t xml:space="preserve">Table 6.11: Comparison of Average Event-day Ex Post Impacts (in MW) in PY 2013 and PY2014, </w:t>
        </w:r>
        <w:r w:rsidR="007E378A" w:rsidRPr="008F43A8">
          <w:rPr>
            <w:rStyle w:val="Hyperlink"/>
            <w:i/>
            <w:noProof/>
          </w:rPr>
          <w:t>SDG&amp;E</w:t>
        </w:r>
        <w:r w:rsidR="007E378A">
          <w:rPr>
            <w:noProof/>
            <w:webHidden/>
          </w:rPr>
          <w:tab/>
        </w:r>
        <w:r w:rsidR="007E378A">
          <w:rPr>
            <w:noProof/>
            <w:webHidden/>
          </w:rPr>
          <w:fldChar w:fldCharType="begin"/>
        </w:r>
        <w:r w:rsidR="007E378A">
          <w:rPr>
            <w:noProof/>
            <w:webHidden/>
          </w:rPr>
          <w:instrText xml:space="preserve"> PAGEREF _Toc415489035 \h </w:instrText>
        </w:r>
        <w:r w:rsidR="007E378A">
          <w:rPr>
            <w:noProof/>
            <w:webHidden/>
          </w:rPr>
        </w:r>
        <w:r w:rsidR="007E378A">
          <w:rPr>
            <w:noProof/>
            <w:webHidden/>
          </w:rPr>
          <w:fldChar w:fldCharType="separate"/>
        </w:r>
        <w:r w:rsidR="007E378A">
          <w:rPr>
            <w:noProof/>
            <w:webHidden/>
          </w:rPr>
          <w:t>51</w:t>
        </w:r>
        <w:r w:rsidR="007E378A">
          <w:rPr>
            <w:noProof/>
            <w:webHidden/>
          </w:rPr>
          <w:fldChar w:fldCharType="end"/>
        </w:r>
      </w:hyperlink>
    </w:p>
    <w:p w14:paraId="7AAF1735"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36" w:history="1">
        <w:r w:rsidR="007E378A" w:rsidRPr="008F43A8">
          <w:rPr>
            <w:rStyle w:val="Hyperlink"/>
            <w:noProof/>
          </w:rPr>
          <w:t xml:space="preserve">Table 6.12: Comparison of Ex Ante Impacts from PY 2013 and PY 2014 Studies, </w:t>
        </w:r>
        <w:r w:rsidR="007E378A" w:rsidRPr="008F43A8">
          <w:rPr>
            <w:rStyle w:val="Hyperlink"/>
            <w:i/>
            <w:noProof/>
          </w:rPr>
          <w:t>SDG&amp;E</w:t>
        </w:r>
        <w:r w:rsidR="007E378A">
          <w:rPr>
            <w:noProof/>
            <w:webHidden/>
          </w:rPr>
          <w:tab/>
        </w:r>
        <w:r w:rsidR="007E378A">
          <w:rPr>
            <w:noProof/>
            <w:webHidden/>
          </w:rPr>
          <w:fldChar w:fldCharType="begin"/>
        </w:r>
        <w:r w:rsidR="007E378A">
          <w:rPr>
            <w:noProof/>
            <w:webHidden/>
          </w:rPr>
          <w:instrText xml:space="preserve"> PAGEREF _Toc415489036 \h </w:instrText>
        </w:r>
        <w:r w:rsidR="007E378A">
          <w:rPr>
            <w:noProof/>
            <w:webHidden/>
          </w:rPr>
        </w:r>
        <w:r w:rsidR="007E378A">
          <w:rPr>
            <w:noProof/>
            <w:webHidden/>
          </w:rPr>
          <w:fldChar w:fldCharType="separate"/>
        </w:r>
        <w:r w:rsidR="007E378A">
          <w:rPr>
            <w:noProof/>
            <w:webHidden/>
          </w:rPr>
          <w:t>51</w:t>
        </w:r>
        <w:r w:rsidR="007E378A">
          <w:rPr>
            <w:noProof/>
            <w:webHidden/>
          </w:rPr>
          <w:fldChar w:fldCharType="end"/>
        </w:r>
      </w:hyperlink>
    </w:p>
    <w:p w14:paraId="2A1A49FC"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37" w:history="1">
        <w:r w:rsidR="007E378A" w:rsidRPr="008F43A8">
          <w:rPr>
            <w:rStyle w:val="Hyperlink"/>
            <w:noProof/>
          </w:rPr>
          <w:t xml:space="preserve">Table 6.13: Comparison of Previous Ex Ante and Current Ex Post Impacts, </w:t>
        </w:r>
        <w:r w:rsidR="007E378A" w:rsidRPr="008F43A8">
          <w:rPr>
            <w:rStyle w:val="Hyperlink"/>
            <w:i/>
            <w:noProof/>
          </w:rPr>
          <w:t>SDG&amp;E</w:t>
        </w:r>
        <w:r w:rsidR="007E378A">
          <w:rPr>
            <w:noProof/>
            <w:webHidden/>
          </w:rPr>
          <w:tab/>
        </w:r>
        <w:r w:rsidR="007E378A">
          <w:rPr>
            <w:noProof/>
            <w:webHidden/>
          </w:rPr>
          <w:fldChar w:fldCharType="begin"/>
        </w:r>
        <w:r w:rsidR="007E378A">
          <w:rPr>
            <w:noProof/>
            <w:webHidden/>
          </w:rPr>
          <w:instrText xml:space="preserve"> PAGEREF _Toc415489037 \h </w:instrText>
        </w:r>
        <w:r w:rsidR="007E378A">
          <w:rPr>
            <w:noProof/>
            <w:webHidden/>
          </w:rPr>
        </w:r>
        <w:r w:rsidR="007E378A">
          <w:rPr>
            <w:noProof/>
            <w:webHidden/>
          </w:rPr>
          <w:fldChar w:fldCharType="separate"/>
        </w:r>
        <w:r w:rsidR="007E378A">
          <w:rPr>
            <w:noProof/>
            <w:webHidden/>
          </w:rPr>
          <w:t>52</w:t>
        </w:r>
        <w:r w:rsidR="007E378A">
          <w:rPr>
            <w:noProof/>
            <w:webHidden/>
          </w:rPr>
          <w:fldChar w:fldCharType="end"/>
        </w:r>
      </w:hyperlink>
    </w:p>
    <w:p w14:paraId="4D951A98"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38" w:history="1">
        <w:r w:rsidR="007E378A" w:rsidRPr="008F43A8">
          <w:rPr>
            <w:rStyle w:val="Hyperlink"/>
            <w:noProof/>
          </w:rPr>
          <w:t>Table 6.14: SDG&amp;E BIP Ex Post versus Ex Ante Factors, Typical Event Day</w:t>
        </w:r>
        <w:r w:rsidR="007E378A">
          <w:rPr>
            <w:noProof/>
            <w:webHidden/>
          </w:rPr>
          <w:tab/>
        </w:r>
        <w:r w:rsidR="007E378A">
          <w:rPr>
            <w:noProof/>
            <w:webHidden/>
          </w:rPr>
          <w:fldChar w:fldCharType="begin"/>
        </w:r>
        <w:r w:rsidR="007E378A">
          <w:rPr>
            <w:noProof/>
            <w:webHidden/>
          </w:rPr>
          <w:instrText xml:space="preserve"> PAGEREF _Toc415489038 \h </w:instrText>
        </w:r>
        <w:r w:rsidR="007E378A">
          <w:rPr>
            <w:noProof/>
            <w:webHidden/>
          </w:rPr>
        </w:r>
        <w:r w:rsidR="007E378A">
          <w:rPr>
            <w:noProof/>
            <w:webHidden/>
          </w:rPr>
          <w:fldChar w:fldCharType="separate"/>
        </w:r>
        <w:r w:rsidR="007E378A">
          <w:rPr>
            <w:noProof/>
            <w:webHidden/>
          </w:rPr>
          <w:t>53</w:t>
        </w:r>
        <w:r w:rsidR="007E378A">
          <w:rPr>
            <w:noProof/>
            <w:webHidden/>
          </w:rPr>
          <w:fldChar w:fldCharType="end"/>
        </w:r>
      </w:hyperlink>
    </w:p>
    <w:p w14:paraId="6C2A0F16"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39" w:history="1">
        <w:r w:rsidR="007E378A" w:rsidRPr="008F43A8">
          <w:rPr>
            <w:rStyle w:val="Hyperlink"/>
            <w:noProof/>
          </w:rPr>
          <w:t>Table 6.15: Comparison of Ex Post and Ex Ante Load Impacts, SDG&amp;E</w:t>
        </w:r>
        <w:r w:rsidR="007E378A">
          <w:rPr>
            <w:noProof/>
            <w:webHidden/>
          </w:rPr>
          <w:tab/>
        </w:r>
        <w:r w:rsidR="007E378A">
          <w:rPr>
            <w:noProof/>
            <w:webHidden/>
          </w:rPr>
          <w:fldChar w:fldCharType="begin"/>
        </w:r>
        <w:r w:rsidR="007E378A">
          <w:rPr>
            <w:noProof/>
            <w:webHidden/>
          </w:rPr>
          <w:instrText xml:space="preserve"> PAGEREF _Toc415489039 \h </w:instrText>
        </w:r>
        <w:r w:rsidR="007E378A">
          <w:rPr>
            <w:noProof/>
            <w:webHidden/>
          </w:rPr>
        </w:r>
        <w:r w:rsidR="007E378A">
          <w:rPr>
            <w:noProof/>
            <w:webHidden/>
          </w:rPr>
          <w:fldChar w:fldCharType="separate"/>
        </w:r>
        <w:r w:rsidR="007E378A">
          <w:rPr>
            <w:noProof/>
            <w:webHidden/>
          </w:rPr>
          <w:t>53</w:t>
        </w:r>
        <w:r w:rsidR="007E378A">
          <w:rPr>
            <w:noProof/>
            <w:webHidden/>
          </w:rPr>
          <w:fldChar w:fldCharType="end"/>
        </w:r>
      </w:hyperlink>
    </w:p>
    <w:p w14:paraId="24919EFA"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40" w:history="1">
        <w:r w:rsidR="007E378A" w:rsidRPr="008F43A8">
          <w:rPr>
            <w:rStyle w:val="Hyperlink"/>
            <w:noProof/>
          </w:rPr>
          <w:t>Table A.1: Weather Variables Included in the Tested Specifications</w:t>
        </w:r>
        <w:r w:rsidR="007E378A">
          <w:rPr>
            <w:noProof/>
            <w:webHidden/>
          </w:rPr>
          <w:tab/>
        </w:r>
        <w:r w:rsidR="007E378A">
          <w:rPr>
            <w:noProof/>
            <w:webHidden/>
          </w:rPr>
          <w:fldChar w:fldCharType="begin"/>
        </w:r>
        <w:r w:rsidR="007E378A">
          <w:rPr>
            <w:noProof/>
            <w:webHidden/>
          </w:rPr>
          <w:instrText xml:space="preserve"> PAGEREF _Toc415489040 \h </w:instrText>
        </w:r>
        <w:r w:rsidR="007E378A">
          <w:rPr>
            <w:noProof/>
            <w:webHidden/>
          </w:rPr>
        </w:r>
        <w:r w:rsidR="007E378A">
          <w:rPr>
            <w:noProof/>
            <w:webHidden/>
          </w:rPr>
          <w:fldChar w:fldCharType="separate"/>
        </w:r>
        <w:r w:rsidR="007E378A">
          <w:rPr>
            <w:noProof/>
            <w:webHidden/>
          </w:rPr>
          <w:t>56</w:t>
        </w:r>
        <w:r w:rsidR="007E378A">
          <w:rPr>
            <w:noProof/>
            <w:webHidden/>
          </w:rPr>
          <w:fldChar w:fldCharType="end"/>
        </w:r>
      </w:hyperlink>
    </w:p>
    <w:p w14:paraId="018CAA86"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41" w:history="1">
        <w:r w:rsidR="007E378A" w:rsidRPr="008F43A8">
          <w:rPr>
            <w:rStyle w:val="Hyperlink"/>
            <w:noProof/>
          </w:rPr>
          <w:t>Table A.2: List of Event-Like Non-Event Days by Program</w:t>
        </w:r>
        <w:r w:rsidR="007E378A">
          <w:rPr>
            <w:noProof/>
            <w:webHidden/>
          </w:rPr>
          <w:tab/>
        </w:r>
        <w:r w:rsidR="007E378A">
          <w:rPr>
            <w:noProof/>
            <w:webHidden/>
          </w:rPr>
          <w:fldChar w:fldCharType="begin"/>
        </w:r>
        <w:r w:rsidR="007E378A">
          <w:rPr>
            <w:noProof/>
            <w:webHidden/>
          </w:rPr>
          <w:instrText xml:space="preserve"> PAGEREF _Toc415489041 \h </w:instrText>
        </w:r>
        <w:r w:rsidR="007E378A">
          <w:rPr>
            <w:noProof/>
            <w:webHidden/>
          </w:rPr>
        </w:r>
        <w:r w:rsidR="007E378A">
          <w:rPr>
            <w:noProof/>
            <w:webHidden/>
          </w:rPr>
          <w:fldChar w:fldCharType="separate"/>
        </w:r>
        <w:r w:rsidR="007E378A">
          <w:rPr>
            <w:noProof/>
            <w:webHidden/>
          </w:rPr>
          <w:t>57</w:t>
        </w:r>
        <w:r w:rsidR="007E378A">
          <w:rPr>
            <w:noProof/>
            <w:webHidden/>
          </w:rPr>
          <w:fldChar w:fldCharType="end"/>
        </w:r>
      </w:hyperlink>
    </w:p>
    <w:p w14:paraId="0C769805"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42" w:history="1">
        <w:r w:rsidR="007E378A" w:rsidRPr="008F43A8">
          <w:rPr>
            <w:rStyle w:val="Hyperlink"/>
            <w:noProof/>
          </w:rPr>
          <w:t>Table A.3: Specification Test Results</w:t>
        </w:r>
        <w:r w:rsidR="007E378A">
          <w:rPr>
            <w:noProof/>
            <w:webHidden/>
          </w:rPr>
          <w:tab/>
        </w:r>
        <w:r w:rsidR="007E378A">
          <w:rPr>
            <w:noProof/>
            <w:webHidden/>
          </w:rPr>
          <w:fldChar w:fldCharType="begin"/>
        </w:r>
        <w:r w:rsidR="007E378A">
          <w:rPr>
            <w:noProof/>
            <w:webHidden/>
          </w:rPr>
          <w:instrText xml:space="preserve"> PAGEREF _Toc415489042 \h </w:instrText>
        </w:r>
        <w:r w:rsidR="007E378A">
          <w:rPr>
            <w:noProof/>
            <w:webHidden/>
          </w:rPr>
        </w:r>
        <w:r w:rsidR="007E378A">
          <w:rPr>
            <w:noProof/>
            <w:webHidden/>
          </w:rPr>
          <w:fldChar w:fldCharType="separate"/>
        </w:r>
        <w:r w:rsidR="007E378A">
          <w:rPr>
            <w:noProof/>
            <w:webHidden/>
          </w:rPr>
          <w:t>58</w:t>
        </w:r>
        <w:r w:rsidR="007E378A">
          <w:rPr>
            <w:noProof/>
            <w:webHidden/>
          </w:rPr>
          <w:fldChar w:fldCharType="end"/>
        </w:r>
      </w:hyperlink>
    </w:p>
    <w:p w14:paraId="3CB2BA48"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43" w:history="1">
        <w:r w:rsidR="007E378A" w:rsidRPr="008F43A8">
          <w:rPr>
            <w:rStyle w:val="Hyperlink"/>
            <w:noProof/>
          </w:rPr>
          <w:t>Table A.4: Synthetic Event-Day Tests by Program</w:t>
        </w:r>
        <w:r w:rsidR="007E378A">
          <w:rPr>
            <w:noProof/>
            <w:webHidden/>
          </w:rPr>
          <w:tab/>
        </w:r>
        <w:r w:rsidR="007E378A">
          <w:rPr>
            <w:noProof/>
            <w:webHidden/>
          </w:rPr>
          <w:fldChar w:fldCharType="begin"/>
        </w:r>
        <w:r w:rsidR="007E378A">
          <w:rPr>
            <w:noProof/>
            <w:webHidden/>
          </w:rPr>
          <w:instrText xml:space="preserve"> PAGEREF _Toc415489043 \h </w:instrText>
        </w:r>
        <w:r w:rsidR="007E378A">
          <w:rPr>
            <w:noProof/>
            <w:webHidden/>
          </w:rPr>
        </w:r>
        <w:r w:rsidR="007E378A">
          <w:rPr>
            <w:noProof/>
            <w:webHidden/>
          </w:rPr>
          <w:fldChar w:fldCharType="separate"/>
        </w:r>
        <w:r w:rsidR="007E378A">
          <w:rPr>
            <w:noProof/>
            <w:webHidden/>
          </w:rPr>
          <w:t>61</w:t>
        </w:r>
        <w:r w:rsidR="007E378A">
          <w:rPr>
            <w:noProof/>
            <w:webHidden/>
          </w:rPr>
          <w:fldChar w:fldCharType="end"/>
        </w:r>
      </w:hyperlink>
    </w:p>
    <w:p w14:paraId="2FA11F8E"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44" w:history="1">
        <w:r w:rsidR="007E378A" w:rsidRPr="008F43A8">
          <w:rPr>
            <w:rStyle w:val="Hyperlink"/>
            <w:noProof/>
          </w:rPr>
          <w:t xml:space="preserve">Table B.1: September 11, 2014 Over/Under Performance – PG&amp;E BIP, </w:t>
        </w:r>
        <w:r w:rsidR="007E378A" w:rsidRPr="008F43A8">
          <w:rPr>
            <w:rStyle w:val="Hyperlink"/>
            <w:i/>
            <w:noProof/>
          </w:rPr>
          <w:t>by Industry Group and Event Hour</w:t>
        </w:r>
        <w:r w:rsidR="007E378A">
          <w:rPr>
            <w:noProof/>
            <w:webHidden/>
          </w:rPr>
          <w:tab/>
        </w:r>
        <w:r w:rsidR="007E378A">
          <w:rPr>
            <w:noProof/>
            <w:webHidden/>
          </w:rPr>
          <w:fldChar w:fldCharType="begin"/>
        </w:r>
        <w:r w:rsidR="007E378A">
          <w:rPr>
            <w:noProof/>
            <w:webHidden/>
          </w:rPr>
          <w:instrText xml:space="preserve"> PAGEREF _Toc415489044 \h </w:instrText>
        </w:r>
        <w:r w:rsidR="007E378A">
          <w:rPr>
            <w:noProof/>
            <w:webHidden/>
          </w:rPr>
        </w:r>
        <w:r w:rsidR="007E378A">
          <w:rPr>
            <w:noProof/>
            <w:webHidden/>
          </w:rPr>
          <w:fldChar w:fldCharType="separate"/>
        </w:r>
        <w:r w:rsidR="007E378A">
          <w:rPr>
            <w:noProof/>
            <w:webHidden/>
          </w:rPr>
          <w:t>66</w:t>
        </w:r>
        <w:r w:rsidR="007E378A">
          <w:rPr>
            <w:noProof/>
            <w:webHidden/>
          </w:rPr>
          <w:fldChar w:fldCharType="end"/>
        </w:r>
      </w:hyperlink>
    </w:p>
    <w:p w14:paraId="53446001"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45" w:history="1">
        <w:r w:rsidR="007E378A" w:rsidRPr="008F43A8">
          <w:rPr>
            <w:rStyle w:val="Hyperlink"/>
            <w:noProof/>
          </w:rPr>
          <w:t xml:space="preserve">Table B.2: February 6, 2014 Over/Under Performance – SCE BIP, </w:t>
        </w:r>
        <w:r w:rsidR="007E378A" w:rsidRPr="008F43A8">
          <w:rPr>
            <w:rStyle w:val="Hyperlink"/>
            <w:i/>
            <w:noProof/>
          </w:rPr>
          <w:t>by Industry Group and Event Hour</w:t>
        </w:r>
        <w:r w:rsidR="007E378A">
          <w:rPr>
            <w:noProof/>
            <w:webHidden/>
          </w:rPr>
          <w:tab/>
        </w:r>
        <w:r w:rsidR="007E378A">
          <w:rPr>
            <w:noProof/>
            <w:webHidden/>
          </w:rPr>
          <w:fldChar w:fldCharType="begin"/>
        </w:r>
        <w:r w:rsidR="007E378A">
          <w:rPr>
            <w:noProof/>
            <w:webHidden/>
          </w:rPr>
          <w:instrText xml:space="preserve"> PAGEREF _Toc415489045 \h </w:instrText>
        </w:r>
        <w:r w:rsidR="007E378A">
          <w:rPr>
            <w:noProof/>
            <w:webHidden/>
          </w:rPr>
        </w:r>
        <w:r w:rsidR="007E378A">
          <w:rPr>
            <w:noProof/>
            <w:webHidden/>
          </w:rPr>
          <w:fldChar w:fldCharType="separate"/>
        </w:r>
        <w:r w:rsidR="007E378A">
          <w:rPr>
            <w:noProof/>
            <w:webHidden/>
          </w:rPr>
          <w:t>66</w:t>
        </w:r>
        <w:r w:rsidR="007E378A">
          <w:rPr>
            <w:noProof/>
            <w:webHidden/>
          </w:rPr>
          <w:fldChar w:fldCharType="end"/>
        </w:r>
      </w:hyperlink>
    </w:p>
    <w:p w14:paraId="0123E2E7"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46" w:history="1">
        <w:r w:rsidR="007E378A" w:rsidRPr="008F43A8">
          <w:rPr>
            <w:rStyle w:val="Hyperlink"/>
            <w:noProof/>
          </w:rPr>
          <w:t xml:space="preserve">Table B.3: May 16, 2014 Over/Under Performance – SDG&amp;E BIP, </w:t>
        </w:r>
        <w:r w:rsidR="007E378A" w:rsidRPr="008F43A8">
          <w:rPr>
            <w:rStyle w:val="Hyperlink"/>
            <w:i/>
            <w:noProof/>
          </w:rPr>
          <w:t>by Industry Group and Event Hour</w:t>
        </w:r>
        <w:r w:rsidR="007E378A">
          <w:rPr>
            <w:noProof/>
            <w:webHidden/>
          </w:rPr>
          <w:tab/>
        </w:r>
        <w:r w:rsidR="007E378A">
          <w:rPr>
            <w:noProof/>
            <w:webHidden/>
          </w:rPr>
          <w:fldChar w:fldCharType="begin"/>
        </w:r>
        <w:r w:rsidR="007E378A">
          <w:rPr>
            <w:noProof/>
            <w:webHidden/>
          </w:rPr>
          <w:instrText xml:space="preserve"> PAGEREF _Toc415489046 \h </w:instrText>
        </w:r>
        <w:r w:rsidR="007E378A">
          <w:rPr>
            <w:noProof/>
            <w:webHidden/>
          </w:rPr>
        </w:r>
        <w:r w:rsidR="007E378A">
          <w:rPr>
            <w:noProof/>
            <w:webHidden/>
          </w:rPr>
          <w:fldChar w:fldCharType="separate"/>
        </w:r>
        <w:r w:rsidR="007E378A">
          <w:rPr>
            <w:noProof/>
            <w:webHidden/>
          </w:rPr>
          <w:t>67</w:t>
        </w:r>
        <w:r w:rsidR="007E378A">
          <w:rPr>
            <w:noProof/>
            <w:webHidden/>
          </w:rPr>
          <w:fldChar w:fldCharType="end"/>
        </w:r>
      </w:hyperlink>
    </w:p>
    <w:p w14:paraId="41F20E4A" w14:textId="77777777" w:rsidR="00321E09" w:rsidRDefault="00321E09" w:rsidP="002F6A10">
      <w:pPr>
        <w:spacing w:afterLines="60" w:after="144" w:line="360" w:lineRule="auto"/>
        <w:ind w:left="1181" w:right="720" w:hanging="1181"/>
        <w:jc w:val="center"/>
        <w:rPr>
          <w:b/>
          <w:sz w:val="28"/>
          <w:szCs w:val="28"/>
        </w:rPr>
        <w:sectPr w:rsidR="00321E09" w:rsidSect="00411FC1">
          <w:pgSz w:w="12240" w:h="15840"/>
          <w:pgMar w:top="1440" w:right="1440" w:bottom="1440" w:left="1440" w:header="720" w:footer="720" w:gutter="0"/>
          <w:pgNumType w:fmt="lowerRoman"/>
          <w:cols w:space="720"/>
          <w:docGrid w:linePitch="360"/>
        </w:sectPr>
      </w:pPr>
      <w:r>
        <w:rPr>
          <w:b/>
          <w:sz w:val="28"/>
          <w:szCs w:val="28"/>
        </w:rPr>
        <w:fldChar w:fldCharType="end"/>
      </w:r>
    </w:p>
    <w:p w14:paraId="7E1AF410" w14:textId="77777777" w:rsidR="00321E09" w:rsidRPr="00F8770F" w:rsidRDefault="00321E09" w:rsidP="003F442E">
      <w:pPr>
        <w:jc w:val="center"/>
        <w:rPr>
          <w:b/>
        </w:rPr>
      </w:pPr>
      <w:r w:rsidRPr="00F8770F">
        <w:rPr>
          <w:b/>
        </w:rPr>
        <w:lastRenderedPageBreak/>
        <w:t xml:space="preserve">Figures </w:t>
      </w:r>
    </w:p>
    <w:p w14:paraId="16B17BA7" w14:textId="77777777" w:rsidR="007E378A" w:rsidRDefault="00321E09">
      <w:pPr>
        <w:pStyle w:val="TableofFigures"/>
        <w:tabs>
          <w:tab w:val="right" w:leader="dot" w:pos="9350"/>
        </w:tabs>
        <w:rPr>
          <w:rFonts w:asciiTheme="minorHAnsi" w:eastAsiaTheme="minorEastAsia" w:hAnsiTheme="minorHAnsi" w:cstheme="minorBidi"/>
          <w:noProof/>
          <w:sz w:val="22"/>
          <w:szCs w:val="22"/>
        </w:rPr>
      </w:pPr>
      <w:r>
        <w:rPr>
          <w:b/>
          <w:sz w:val="28"/>
          <w:szCs w:val="28"/>
        </w:rPr>
        <w:fldChar w:fldCharType="begin"/>
      </w:r>
      <w:r>
        <w:rPr>
          <w:b/>
          <w:sz w:val="28"/>
          <w:szCs w:val="28"/>
        </w:rPr>
        <w:instrText xml:space="preserve"> TOC \h \z \t "Figure Caption" \c </w:instrText>
      </w:r>
      <w:r>
        <w:rPr>
          <w:b/>
          <w:sz w:val="28"/>
          <w:szCs w:val="28"/>
        </w:rPr>
        <w:fldChar w:fldCharType="separate"/>
      </w:r>
      <w:hyperlink w:anchor="_Toc415489047" w:history="1">
        <w:r w:rsidR="007E378A" w:rsidRPr="00A06EA8">
          <w:rPr>
            <w:rStyle w:val="Hyperlink"/>
            <w:noProof/>
          </w:rPr>
          <w:t>Figure ES.1 Distribution of BIP Enrolled Load by Industry Type, PG&amp;E</w:t>
        </w:r>
        <w:r w:rsidR="007E378A">
          <w:rPr>
            <w:noProof/>
            <w:webHidden/>
          </w:rPr>
          <w:tab/>
        </w:r>
        <w:r w:rsidR="007E378A">
          <w:rPr>
            <w:noProof/>
            <w:webHidden/>
          </w:rPr>
          <w:fldChar w:fldCharType="begin"/>
        </w:r>
        <w:r w:rsidR="007E378A">
          <w:rPr>
            <w:noProof/>
            <w:webHidden/>
          </w:rPr>
          <w:instrText xml:space="preserve"> PAGEREF _Toc415489047 \h </w:instrText>
        </w:r>
        <w:r w:rsidR="007E378A">
          <w:rPr>
            <w:noProof/>
            <w:webHidden/>
          </w:rPr>
        </w:r>
        <w:r w:rsidR="007E378A">
          <w:rPr>
            <w:noProof/>
            <w:webHidden/>
          </w:rPr>
          <w:fldChar w:fldCharType="separate"/>
        </w:r>
        <w:r w:rsidR="007E378A">
          <w:rPr>
            <w:noProof/>
            <w:webHidden/>
          </w:rPr>
          <w:t>4</w:t>
        </w:r>
        <w:r w:rsidR="007E378A">
          <w:rPr>
            <w:noProof/>
            <w:webHidden/>
          </w:rPr>
          <w:fldChar w:fldCharType="end"/>
        </w:r>
      </w:hyperlink>
    </w:p>
    <w:p w14:paraId="31E165EC"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48" w:history="1">
        <w:r w:rsidR="007E378A" w:rsidRPr="00A06EA8">
          <w:rPr>
            <w:rStyle w:val="Hyperlink"/>
            <w:noProof/>
          </w:rPr>
          <w:t>Figure ES.2 Distribution of BIP Enrolled Load by Industry Type, SCE</w:t>
        </w:r>
        <w:r w:rsidR="007E378A">
          <w:rPr>
            <w:noProof/>
            <w:webHidden/>
          </w:rPr>
          <w:tab/>
        </w:r>
        <w:r w:rsidR="007E378A">
          <w:rPr>
            <w:noProof/>
            <w:webHidden/>
          </w:rPr>
          <w:fldChar w:fldCharType="begin"/>
        </w:r>
        <w:r w:rsidR="007E378A">
          <w:rPr>
            <w:noProof/>
            <w:webHidden/>
          </w:rPr>
          <w:instrText xml:space="preserve"> PAGEREF _Toc415489048 \h </w:instrText>
        </w:r>
        <w:r w:rsidR="007E378A">
          <w:rPr>
            <w:noProof/>
            <w:webHidden/>
          </w:rPr>
        </w:r>
        <w:r w:rsidR="007E378A">
          <w:rPr>
            <w:noProof/>
            <w:webHidden/>
          </w:rPr>
          <w:fldChar w:fldCharType="separate"/>
        </w:r>
        <w:r w:rsidR="007E378A">
          <w:rPr>
            <w:noProof/>
            <w:webHidden/>
          </w:rPr>
          <w:t>5</w:t>
        </w:r>
        <w:r w:rsidR="007E378A">
          <w:rPr>
            <w:noProof/>
            <w:webHidden/>
          </w:rPr>
          <w:fldChar w:fldCharType="end"/>
        </w:r>
      </w:hyperlink>
    </w:p>
    <w:p w14:paraId="2F0FE7AD"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49" w:history="1">
        <w:r w:rsidR="007E378A" w:rsidRPr="00A06EA8">
          <w:rPr>
            <w:rStyle w:val="Hyperlink"/>
            <w:noProof/>
          </w:rPr>
          <w:t>Figure ES.3 Distribution of BIP Enrolled Load by Industry Type, SDG&amp;E</w:t>
        </w:r>
        <w:r w:rsidR="007E378A">
          <w:rPr>
            <w:noProof/>
            <w:webHidden/>
          </w:rPr>
          <w:tab/>
        </w:r>
        <w:r w:rsidR="007E378A">
          <w:rPr>
            <w:noProof/>
            <w:webHidden/>
          </w:rPr>
          <w:fldChar w:fldCharType="begin"/>
        </w:r>
        <w:r w:rsidR="007E378A">
          <w:rPr>
            <w:noProof/>
            <w:webHidden/>
          </w:rPr>
          <w:instrText xml:space="preserve"> PAGEREF _Toc415489049 \h </w:instrText>
        </w:r>
        <w:r w:rsidR="007E378A">
          <w:rPr>
            <w:noProof/>
            <w:webHidden/>
          </w:rPr>
        </w:r>
        <w:r w:rsidR="007E378A">
          <w:rPr>
            <w:noProof/>
            <w:webHidden/>
          </w:rPr>
          <w:fldChar w:fldCharType="separate"/>
        </w:r>
        <w:r w:rsidR="007E378A">
          <w:rPr>
            <w:noProof/>
            <w:webHidden/>
          </w:rPr>
          <w:t>6</w:t>
        </w:r>
        <w:r w:rsidR="007E378A">
          <w:rPr>
            <w:noProof/>
            <w:webHidden/>
          </w:rPr>
          <w:fldChar w:fldCharType="end"/>
        </w:r>
      </w:hyperlink>
    </w:p>
    <w:p w14:paraId="1037A2A1"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50" w:history="1">
        <w:r w:rsidR="007E378A" w:rsidRPr="00A06EA8">
          <w:rPr>
            <w:rStyle w:val="Hyperlink"/>
            <w:noProof/>
          </w:rPr>
          <w:t>Figure ES.4: Average August Ex Ante Load Impacts by Scenario, PG&amp;E</w:t>
        </w:r>
        <w:r w:rsidR="007E378A">
          <w:rPr>
            <w:noProof/>
            <w:webHidden/>
          </w:rPr>
          <w:tab/>
        </w:r>
        <w:r w:rsidR="007E378A">
          <w:rPr>
            <w:noProof/>
            <w:webHidden/>
          </w:rPr>
          <w:fldChar w:fldCharType="begin"/>
        </w:r>
        <w:r w:rsidR="007E378A">
          <w:rPr>
            <w:noProof/>
            <w:webHidden/>
          </w:rPr>
          <w:instrText xml:space="preserve"> PAGEREF _Toc415489050 \h </w:instrText>
        </w:r>
        <w:r w:rsidR="007E378A">
          <w:rPr>
            <w:noProof/>
            <w:webHidden/>
          </w:rPr>
        </w:r>
        <w:r w:rsidR="007E378A">
          <w:rPr>
            <w:noProof/>
            <w:webHidden/>
          </w:rPr>
          <w:fldChar w:fldCharType="separate"/>
        </w:r>
        <w:r w:rsidR="007E378A">
          <w:rPr>
            <w:noProof/>
            <w:webHidden/>
          </w:rPr>
          <w:t>8</w:t>
        </w:r>
        <w:r w:rsidR="007E378A">
          <w:rPr>
            <w:noProof/>
            <w:webHidden/>
          </w:rPr>
          <w:fldChar w:fldCharType="end"/>
        </w:r>
      </w:hyperlink>
    </w:p>
    <w:p w14:paraId="4166B89B"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51" w:history="1">
        <w:r w:rsidR="007E378A" w:rsidRPr="00A06EA8">
          <w:rPr>
            <w:rStyle w:val="Hyperlink"/>
            <w:noProof/>
          </w:rPr>
          <w:t xml:space="preserve">Figure ES.5: Average August Ex Ante Load Impacts by Year and Scenario, </w:t>
        </w:r>
        <w:r w:rsidR="007E378A" w:rsidRPr="00A06E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_Toc415489051 \h </w:instrText>
        </w:r>
        <w:r w:rsidR="007E378A">
          <w:rPr>
            <w:noProof/>
            <w:webHidden/>
          </w:rPr>
        </w:r>
        <w:r w:rsidR="007E378A">
          <w:rPr>
            <w:noProof/>
            <w:webHidden/>
          </w:rPr>
          <w:fldChar w:fldCharType="separate"/>
        </w:r>
        <w:r w:rsidR="007E378A">
          <w:rPr>
            <w:noProof/>
            <w:webHidden/>
          </w:rPr>
          <w:t>9</w:t>
        </w:r>
        <w:r w:rsidR="007E378A">
          <w:rPr>
            <w:noProof/>
            <w:webHidden/>
          </w:rPr>
          <w:fldChar w:fldCharType="end"/>
        </w:r>
      </w:hyperlink>
    </w:p>
    <w:p w14:paraId="1CC4DC0A"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52" w:history="1">
        <w:r w:rsidR="007E378A" w:rsidRPr="00A06EA8">
          <w:rPr>
            <w:rStyle w:val="Hyperlink"/>
            <w:noProof/>
          </w:rPr>
          <w:t xml:space="preserve">Figure 4.1: BIP Load Impacts for the September 11, 2014 Event Day, </w:t>
        </w:r>
        <w:r w:rsidR="007E378A" w:rsidRPr="00A06E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_Toc415489052 \h </w:instrText>
        </w:r>
        <w:r w:rsidR="007E378A">
          <w:rPr>
            <w:noProof/>
            <w:webHidden/>
          </w:rPr>
        </w:r>
        <w:r w:rsidR="007E378A">
          <w:rPr>
            <w:noProof/>
            <w:webHidden/>
          </w:rPr>
          <w:fldChar w:fldCharType="separate"/>
        </w:r>
        <w:r w:rsidR="007E378A">
          <w:rPr>
            <w:noProof/>
            <w:webHidden/>
          </w:rPr>
          <w:t>22</w:t>
        </w:r>
        <w:r w:rsidR="007E378A">
          <w:rPr>
            <w:noProof/>
            <w:webHidden/>
          </w:rPr>
          <w:fldChar w:fldCharType="end"/>
        </w:r>
      </w:hyperlink>
    </w:p>
    <w:p w14:paraId="473A3B48"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53" w:history="1">
        <w:r w:rsidR="007E378A" w:rsidRPr="00A06EA8">
          <w:rPr>
            <w:rStyle w:val="Hyperlink"/>
            <w:noProof/>
          </w:rPr>
          <w:t xml:space="preserve">Figure 4.2: Hourly Load Impacts by Event, </w:t>
        </w:r>
        <w:r w:rsidR="007E378A" w:rsidRPr="00A06EA8">
          <w:rPr>
            <w:rStyle w:val="Hyperlink"/>
            <w:i/>
            <w:noProof/>
          </w:rPr>
          <w:t>PG&amp;E BIP</w:t>
        </w:r>
        <w:r w:rsidR="007E378A">
          <w:rPr>
            <w:noProof/>
            <w:webHidden/>
          </w:rPr>
          <w:tab/>
        </w:r>
        <w:r w:rsidR="007E378A">
          <w:rPr>
            <w:noProof/>
            <w:webHidden/>
          </w:rPr>
          <w:fldChar w:fldCharType="begin"/>
        </w:r>
        <w:r w:rsidR="007E378A">
          <w:rPr>
            <w:noProof/>
            <w:webHidden/>
          </w:rPr>
          <w:instrText xml:space="preserve"> PAGEREF _Toc415489053 \h </w:instrText>
        </w:r>
        <w:r w:rsidR="007E378A">
          <w:rPr>
            <w:noProof/>
            <w:webHidden/>
          </w:rPr>
        </w:r>
        <w:r w:rsidR="007E378A">
          <w:rPr>
            <w:noProof/>
            <w:webHidden/>
          </w:rPr>
          <w:fldChar w:fldCharType="separate"/>
        </w:r>
        <w:r w:rsidR="007E378A">
          <w:rPr>
            <w:noProof/>
            <w:webHidden/>
          </w:rPr>
          <w:t>23</w:t>
        </w:r>
        <w:r w:rsidR="007E378A">
          <w:rPr>
            <w:noProof/>
            <w:webHidden/>
          </w:rPr>
          <w:fldChar w:fldCharType="end"/>
        </w:r>
      </w:hyperlink>
    </w:p>
    <w:p w14:paraId="20011638"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54" w:history="1">
        <w:r w:rsidR="007E378A" w:rsidRPr="00A06EA8">
          <w:rPr>
            <w:rStyle w:val="Hyperlink"/>
            <w:noProof/>
          </w:rPr>
          <w:t xml:space="preserve">Figure 4.3: BIP Load Impacts for the February 6, 2014 Event Day, </w:t>
        </w:r>
        <w:r w:rsidR="007E378A" w:rsidRPr="00A06E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_Toc415489054 \h </w:instrText>
        </w:r>
        <w:r w:rsidR="007E378A">
          <w:rPr>
            <w:noProof/>
            <w:webHidden/>
          </w:rPr>
        </w:r>
        <w:r w:rsidR="007E378A">
          <w:rPr>
            <w:noProof/>
            <w:webHidden/>
          </w:rPr>
          <w:fldChar w:fldCharType="separate"/>
        </w:r>
        <w:r w:rsidR="007E378A">
          <w:rPr>
            <w:noProof/>
            <w:webHidden/>
          </w:rPr>
          <w:t>26</w:t>
        </w:r>
        <w:r w:rsidR="007E378A">
          <w:rPr>
            <w:noProof/>
            <w:webHidden/>
          </w:rPr>
          <w:fldChar w:fldCharType="end"/>
        </w:r>
      </w:hyperlink>
    </w:p>
    <w:p w14:paraId="64BE2CBF"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55" w:history="1">
        <w:r w:rsidR="007E378A" w:rsidRPr="00A06EA8">
          <w:rPr>
            <w:rStyle w:val="Hyperlink"/>
            <w:noProof/>
          </w:rPr>
          <w:t xml:space="preserve">Figure 4.4: BIP May 16, 2014 Load Impacts, </w:t>
        </w:r>
        <w:r w:rsidR="007E378A" w:rsidRPr="00A06EA8">
          <w:rPr>
            <w:rStyle w:val="Hyperlink"/>
            <w:i/>
            <w:noProof/>
          </w:rPr>
          <w:t>SDG&amp;E</w:t>
        </w:r>
        <w:r w:rsidR="007E378A">
          <w:rPr>
            <w:noProof/>
            <w:webHidden/>
          </w:rPr>
          <w:tab/>
        </w:r>
        <w:r w:rsidR="007E378A">
          <w:rPr>
            <w:noProof/>
            <w:webHidden/>
          </w:rPr>
          <w:fldChar w:fldCharType="begin"/>
        </w:r>
        <w:r w:rsidR="007E378A">
          <w:rPr>
            <w:noProof/>
            <w:webHidden/>
          </w:rPr>
          <w:instrText xml:space="preserve"> PAGEREF _Toc415489055 \h </w:instrText>
        </w:r>
        <w:r w:rsidR="007E378A">
          <w:rPr>
            <w:noProof/>
            <w:webHidden/>
          </w:rPr>
        </w:r>
        <w:r w:rsidR="007E378A">
          <w:rPr>
            <w:noProof/>
            <w:webHidden/>
          </w:rPr>
          <w:fldChar w:fldCharType="separate"/>
        </w:r>
        <w:r w:rsidR="007E378A">
          <w:rPr>
            <w:noProof/>
            <w:webHidden/>
          </w:rPr>
          <w:t>29</w:t>
        </w:r>
        <w:r w:rsidR="007E378A">
          <w:rPr>
            <w:noProof/>
            <w:webHidden/>
          </w:rPr>
          <w:fldChar w:fldCharType="end"/>
        </w:r>
      </w:hyperlink>
    </w:p>
    <w:p w14:paraId="6EC78362"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56" w:history="1">
        <w:r w:rsidR="007E378A" w:rsidRPr="00A06EA8">
          <w:rPr>
            <w:rStyle w:val="Hyperlink"/>
            <w:noProof/>
          </w:rPr>
          <w:t xml:space="preserve">Figure 4.5: Hourly Load Impacts by Event, </w:t>
        </w:r>
        <w:r w:rsidR="007E378A" w:rsidRPr="00A06EA8">
          <w:rPr>
            <w:rStyle w:val="Hyperlink"/>
            <w:i/>
            <w:noProof/>
          </w:rPr>
          <w:t>SDG&amp;E</w:t>
        </w:r>
        <w:r w:rsidR="007E378A">
          <w:rPr>
            <w:noProof/>
            <w:webHidden/>
          </w:rPr>
          <w:tab/>
        </w:r>
        <w:r w:rsidR="007E378A">
          <w:rPr>
            <w:noProof/>
            <w:webHidden/>
          </w:rPr>
          <w:fldChar w:fldCharType="begin"/>
        </w:r>
        <w:r w:rsidR="007E378A">
          <w:rPr>
            <w:noProof/>
            <w:webHidden/>
          </w:rPr>
          <w:instrText xml:space="preserve"> PAGEREF _Toc415489056 \h </w:instrText>
        </w:r>
        <w:r w:rsidR="007E378A">
          <w:rPr>
            <w:noProof/>
            <w:webHidden/>
          </w:rPr>
        </w:r>
        <w:r w:rsidR="007E378A">
          <w:rPr>
            <w:noProof/>
            <w:webHidden/>
          </w:rPr>
          <w:fldChar w:fldCharType="separate"/>
        </w:r>
        <w:r w:rsidR="007E378A">
          <w:rPr>
            <w:noProof/>
            <w:webHidden/>
          </w:rPr>
          <w:t>29</w:t>
        </w:r>
        <w:r w:rsidR="007E378A">
          <w:rPr>
            <w:noProof/>
            <w:webHidden/>
          </w:rPr>
          <w:fldChar w:fldCharType="end"/>
        </w:r>
      </w:hyperlink>
    </w:p>
    <w:p w14:paraId="77084B4C"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57" w:history="1">
        <w:r w:rsidR="007E378A" w:rsidRPr="00A06EA8">
          <w:rPr>
            <w:rStyle w:val="Hyperlink"/>
            <w:noProof/>
          </w:rPr>
          <w:t xml:space="preserve">Figure 5.1: Number of Enrolled Customers in Each Forecast Month, </w:t>
        </w:r>
        <w:r w:rsidR="007E378A" w:rsidRPr="00A06E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_Toc415489057 \h </w:instrText>
        </w:r>
        <w:r w:rsidR="007E378A">
          <w:rPr>
            <w:noProof/>
            <w:webHidden/>
          </w:rPr>
        </w:r>
        <w:r w:rsidR="007E378A">
          <w:rPr>
            <w:noProof/>
            <w:webHidden/>
          </w:rPr>
          <w:fldChar w:fldCharType="separate"/>
        </w:r>
        <w:r w:rsidR="007E378A">
          <w:rPr>
            <w:noProof/>
            <w:webHidden/>
          </w:rPr>
          <w:t>35</w:t>
        </w:r>
        <w:r w:rsidR="007E378A">
          <w:rPr>
            <w:noProof/>
            <w:webHidden/>
          </w:rPr>
          <w:fldChar w:fldCharType="end"/>
        </w:r>
      </w:hyperlink>
    </w:p>
    <w:p w14:paraId="143D96D3"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58" w:history="1">
        <w:r w:rsidR="007E378A" w:rsidRPr="00A06EA8">
          <w:rPr>
            <w:rStyle w:val="Hyperlink"/>
            <w:noProof/>
          </w:rPr>
          <w:t>Figure 5.2: PG&amp;E Hourly Event Day Load Impacts for the Typical Event Day in a Utility-Specific 1-in-2 Weather Year for August 2015</w:t>
        </w:r>
        <w:r w:rsidR="007E378A">
          <w:rPr>
            <w:noProof/>
            <w:webHidden/>
          </w:rPr>
          <w:tab/>
        </w:r>
        <w:r w:rsidR="007E378A">
          <w:rPr>
            <w:noProof/>
            <w:webHidden/>
          </w:rPr>
          <w:fldChar w:fldCharType="begin"/>
        </w:r>
        <w:r w:rsidR="007E378A">
          <w:rPr>
            <w:noProof/>
            <w:webHidden/>
          </w:rPr>
          <w:instrText xml:space="preserve"> PAGEREF _Toc415489058 \h </w:instrText>
        </w:r>
        <w:r w:rsidR="007E378A">
          <w:rPr>
            <w:noProof/>
            <w:webHidden/>
          </w:rPr>
        </w:r>
        <w:r w:rsidR="007E378A">
          <w:rPr>
            <w:noProof/>
            <w:webHidden/>
          </w:rPr>
          <w:fldChar w:fldCharType="separate"/>
        </w:r>
        <w:r w:rsidR="007E378A">
          <w:rPr>
            <w:noProof/>
            <w:webHidden/>
          </w:rPr>
          <w:t>36</w:t>
        </w:r>
        <w:r w:rsidR="007E378A">
          <w:rPr>
            <w:noProof/>
            <w:webHidden/>
          </w:rPr>
          <w:fldChar w:fldCharType="end"/>
        </w:r>
      </w:hyperlink>
    </w:p>
    <w:p w14:paraId="19CFEC01"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59" w:history="1">
        <w:r w:rsidR="007E378A" w:rsidRPr="00A06EA8">
          <w:rPr>
            <w:rStyle w:val="Hyperlink"/>
            <w:noProof/>
          </w:rPr>
          <w:t>Figure 5.3: Share of PG&amp;E Load Impacts by LCA for the August 2015 Typical Event Day in a Utility-specific 1</w:t>
        </w:r>
        <w:r w:rsidR="007E378A" w:rsidRPr="00A06EA8">
          <w:rPr>
            <w:rStyle w:val="Hyperlink"/>
            <w:noProof/>
          </w:rPr>
          <w:noBreakHyphen/>
          <w:t>in</w:t>
        </w:r>
        <w:r w:rsidR="007E378A" w:rsidRPr="00A06EA8">
          <w:rPr>
            <w:rStyle w:val="Hyperlink"/>
            <w:noProof/>
          </w:rPr>
          <w:noBreakHyphen/>
          <w:t>2 Weather Year</w:t>
        </w:r>
        <w:r w:rsidR="007E378A">
          <w:rPr>
            <w:noProof/>
            <w:webHidden/>
          </w:rPr>
          <w:tab/>
        </w:r>
        <w:r w:rsidR="007E378A">
          <w:rPr>
            <w:noProof/>
            <w:webHidden/>
          </w:rPr>
          <w:fldChar w:fldCharType="begin"/>
        </w:r>
        <w:r w:rsidR="007E378A">
          <w:rPr>
            <w:noProof/>
            <w:webHidden/>
          </w:rPr>
          <w:instrText xml:space="preserve"> PAGEREF _Toc415489059 \h </w:instrText>
        </w:r>
        <w:r w:rsidR="007E378A">
          <w:rPr>
            <w:noProof/>
            <w:webHidden/>
          </w:rPr>
        </w:r>
        <w:r w:rsidR="007E378A">
          <w:rPr>
            <w:noProof/>
            <w:webHidden/>
          </w:rPr>
          <w:fldChar w:fldCharType="separate"/>
        </w:r>
        <w:r w:rsidR="007E378A">
          <w:rPr>
            <w:noProof/>
            <w:webHidden/>
          </w:rPr>
          <w:t>37</w:t>
        </w:r>
        <w:r w:rsidR="007E378A">
          <w:rPr>
            <w:noProof/>
            <w:webHidden/>
          </w:rPr>
          <w:fldChar w:fldCharType="end"/>
        </w:r>
      </w:hyperlink>
    </w:p>
    <w:p w14:paraId="589DA38D"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60" w:history="1">
        <w:r w:rsidR="007E378A" w:rsidRPr="00A06EA8">
          <w:rPr>
            <w:rStyle w:val="Hyperlink"/>
            <w:noProof/>
          </w:rPr>
          <w:t xml:space="preserve">Figure 5.4:  Average Hourly Ex Ante Load Impacts by Scenario for August, </w:t>
        </w:r>
        <w:r w:rsidR="007E378A" w:rsidRPr="00A06EA8">
          <w:rPr>
            <w:rStyle w:val="Hyperlink"/>
            <w:i/>
            <w:noProof/>
          </w:rPr>
          <w:t>PG&amp;E</w:t>
        </w:r>
        <w:r w:rsidR="007E378A">
          <w:rPr>
            <w:noProof/>
            <w:webHidden/>
          </w:rPr>
          <w:tab/>
        </w:r>
        <w:r w:rsidR="007E378A">
          <w:rPr>
            <w:noProof/>
            <w:webHidden/>
          </w:rPr>
          <w:fldChar w:fldCharType="begin"/>
        </w:r>
        <w:r w:rsidR="007E378A">
          <w:rPr>
            <w:noProof/>
            <w:webHidden/>
          </w:rPr>
          <w:instrText xml:space="preserve"> PAGEREF _Toc415489060 \h </w:instrText>
        </w:r>
        <w:r w:rsidR="007E378A">
          <w:rPr>
            <w:noProof/>
            <w:webHidden/>
          </w:rPr>
        </w:r>
        <w:r w:rsidR="007E378A">
          <w:rPr>
            <w:noProof/>
            <w:webHidden/>
          </w:rPr>
          <w:fldChar w:fldCharType="separate"/>
        </w:r>
        <w:r w:rsidR="007E378A">
          <w:rPr>
            <w:noProof/>
            <w:webHidden/>
          </w:rPr>
          <w:t>38</w:t>
        </w:r>
        <w:r w:rsidR="007E378A">
          <w:rPr>
            <w:noProof/>
            <w:webHidden/>
          </w:rPr>
          <w:fldChar w:fldCharType="end"/>
        </w:r>
      </w:hyperlink>
    </w:p>
    <w:p w14:paraId="3298331D"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61" w:history="1">
        <w:r w:rsidR="007E378A" w:rsidRPr="00A06EA8">
          <w:rPr>
            <w:rStyle w:val="Hyperlink"/>
            <w:noProof/>
          </w:rPr>
          <w:t>Figure 5.5: SCE Hourly Event Day Load Impacts for the Typical Event Day in a Utility-Specific 1-in-2 Weather Year for August 2015</w:t>
        </w:r>
        <w:r w:rsidR="007E378A">
          <w:rPr>
            <w:noProof/>
            <w:webHidden/>
          </w:rPr>
          <w:tab/>
        </w:r>
        <w:r w:rsidR="007E378A">
          <w:rPr>
            <w:noProof/>
            <w:webHidden/>
          </w:rPr>
          <w:fldChar w:fldCharType="begin"/>
        </w:r>
        <w:r w:rsidR="007E378A">
          <w:rPr>
            <w:noProof/>
            <w:webHidden/>
          </w:rPr>
          <w:instrText xml:space="preserve"> PAGEREF _Toc415489061 \h </w:instrText>
        </w:r>
        <w:r w:rsidR="007E378A">
          <w:rPr>
            <w:noProof/>
            <w:webHidden/>
          </w:rPr>
        </w:r>
        <w:r w:rsidR="007E378A">
          <w:rPr>
            <w:noProof/>
            <w:webHidden/>
          </w:rPr>
          <w:fldChar w:fldCharType="separate"/>
        </w:r>
        <w:r w:rsidR="007E378A">
          <w:rPr>
            <w:noProof/>
            <w:webHidden/>
          </w:rPr>
          <w:t>39</w:t>
        </w:r>
        <w:r w:rsidR="007E378A">
          <w:rPr>
            <w:noProof/>
            <w:webHidden/>
          </w:rPr>
          <w:fldChar w:fldCharType="end"/>
        </w:r>
      </w:hyperlink>
    </w:p>
    <w:p w14:paraId="13ED9FAD"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62" w:history="1">
        <w:r w:rsidR="007E378A" w:rsidRPr="00A06EA8">
          <w:rPr>
            <w:rStyle w:val="Hyperlink"/>
            <w:noProof/>
          </w:rPr>
          <w:t>Figure 5.6: Share of SCE Load Impacts by LCA for the August 2015 Typical Event Day in a Utility-specific 1</w:t>
        </w:r>
        <w:r w:rsidR="007E378A" w:rsidRPr="00A06EA8">
          <w:rPr>
            <w:rStyle w:val="Hyperlink"/>
            <w:noProof/>
          </w:rPr>
          <w:noBreakHyphen/>
          <w:t>in</w:t>
        </w:r>
        <w:r w:rsidR="007E378A" w:rsidRPr="00A06EA8">
          <w:rPr>
            <w:rStyle w:val="Hyperlink"/>
            <w:noProof/>
          </w:rPr>
          <w:noBreakHyphen/>
          <w:t>2 Weather Year</w:t>
        </w:r>
        <w:r w:rsidR="007E378A">
          <w:rPr>
            <w:noProof/>
            <w:webHidden/>
          </w:rPr>
          <w:tab/>
        </w:r>
        <w:r w:rsidR="007E378A">
          <w:rPr>
            <w:noProof/>
            <w:webHidden/>
          </w:rPr>
          <w:fldChar w:fldCharType="begin"/>
        </w:r>
        <w:r w:rsidR="007E378A">
          <w:rPr>
            <w:noProof/>
            <w:webHidden/>
          </w:rPr>
          <w:instrText xml:space="preserve"> PAGEREF _Toc415489062 \h </w:instrText>
        </w:r>
        <w:r w:rsidR="007E378A">
          <w:rPr>
            <w:noProof/>
            <w:webHidden/>
          </w:rPr>
        </w:r>
        <w:r w:rsidR="007E378A">
          <w:rPr>
            <w:noProof/>
            <w:webHidden/>
          </w:rPr>
          <w:fldChar w:fldCharType="separate"/>
        </w:r>
        <w:r w:rsidR="007E378A">
          <w:rPr>
            <w:noProof/>
            <w:webHidden/>
          </w:rPr>
          <w:t>40</w:t>
        </w:r>
        <w:r w:rsidR="007E378A">
          <w:rPr>
            <w:noProof/>
            <w:webHidden/>
          </w:rPr>
          <w:fldChar w:fldCharType="end"/>
        </w:r>
      </w:hyperlink>
    </w:p>
    <w:p w14:paraId="1E1375E8"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63" w:history="1">
        <w:r w:rsidR="007E378A" w:rsidRPr="00A06EA8">
          <w:rPr>
            <w:rStyle w:val="Hyperlink"/>
            <w:noProof/>
          </w:rPr>
          <w:t>Figure 5.7: Share of SCE Load Impacts by Notification Time for the August 2015 Typical Event Day in a Utility-specific 1</w:t>
        </w:r>
        <w:r w:rsidR="007E378A" w:rsidRPr="00A06EA8">
          <w:rPr>
            <w:rStyle w:val="Hyperlink"/>
            <w:noProof/>
          </w:rPr>
          <w:noBreakHyphen/>
          <w:t>in</w:t>
        </w:r>
        <w:r w:rsidR="007E378A" w:rsidRPr="00A06EA8">
          <w:rPr>
            <w:rStyle w:val="Hyperlink"/>
            <w:noProof/>
          </w:rPr>
          <w:noBreakHyphen/>
          <w:t>2 Weather Year</w:t>
        </w:r>
        <w:r w:rsidR="007E378A">
          <w:rPr>
            <w:noProof/>
            <w:webHidden/>
          </w:rPr>
          <w:tab/>
        </w:r>
        <w:r w:rsidR="007E378A">
          <w:rPr>
            <w:noProof/>
            <w:webHidden/>
          </w:rPr>
          <w:fldChar w:fldCharType="begin"/>
        </w:r>
        <w:r w:rsidR="007E378A">
          <w:rPr>
            <w:noProof/>
            <w:webHidden/>
          </w:rPr>
          <w:instrText xml:space="preserve"> PAGEREF _Toc415489063 \h </w:instrText>
        </w:r>
        <w:r w:rsidR="007E378A">
          <w:rPr>
            <w:noProof/>
            <w:webHidden/>
          </w:rPr>
        </w:r>
        <w:r w:rsidR="007E378A">
          <w:rPr>
            <w:noProof/>
            <w:webHidden/>
          </w:rPr>
          <w:fldChar w:fldCharType="separate"/>
        </w:r>
        <w:r w:rsidR="007E378A">
          <w:rPr>
            <w:noProof/>
            <w:webHidden/>
          </w:rPr>
          <w:t>41</w:t>
        </w:r>
        <w:r w:rsidR="007E378A">
          <w:rPr>
            <w:noProof/>
            <w:webHidden/>
          </w:rPr>
          <w:fldChar w:fldCharType="end"/>
        </w:r>
      </w:hyperlink>
    </w:p>
    <w:p w14:paraId="6B9F18C0"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64" w:history="1">
        <w:r w:rsidR="007E378A" w:rsidRPr="00A06EA8">
          <w:rPr>
            <w:rStyle w:val="Hyperlink"/>
            <w:noProof/>
          </w:rPr>
          <w:t xml:space="preserve">Figure 5.8:  Average Hourly Ex Ante Load Impacts by Scenario and Year for August, </w:t>
        </w:r>
        <w:r w:rsidR="007E378A" w:rsidRPr="00A06EA8">
          <w:rPr>
            <w:rStyle w:val="Hyperlink"/>
            <w:i/>
            <w:noProof/>
          </w:rPr>
          <w:t>SCE</w:t>
        </w:r>
        <w:r w:rsidR="007E378A">
          <w:rPr>
            <w:noProof/>
            <w:webHidden/>
          </w:rPr>
          <w:tab/>
        </w:r>
        <w:r w:rsidR="007E378A">
          <w:rPr>
            <w:noProof/>
            <w:webHidden/>
          </w:rPr>
          <w:fldChar w:fldCharType="begin"/>
        </w:r>
        <w:r w:rsidR="007E378A">
          <w:rPr>
            <w:noProof/>
            <w:webHidden/>
          </w:rPr>
          <w:instrText xml:space="preserve"> PAGEREF _Toc415489064 \h </w:instrText>
        </w:r>
        <w:r w:rsidR="007E378A">
          <w:rPr>
            <w:noProof/>
            <w:webHidden/>
          </w:rPr>
        </w:r>
        <w:r w:rsidR="007E378A">
          <w:rPr>
            <w:noProof/>
            <w:webHidden/>
          </w:rPr>
          <w:fldChar w:fldCharType="separate"/>
        </w:r>
        <w:r w:rsidR="007E378A">
          <w:rPr>
            <w:noProof/>
            <w:webHidden/>
          </w:rPr>
          <w:t>42</w:t>
        </w:r>
        <w:r w:rsidR="007E378A">
          <w:rPr>
            <w:noProof/>
            <w:webHidden/>
          </w:rPr>
          <w:fldChar w:fldCharType="end"/>
        </w:r>
      </w:hyperlink>
    </w:p>
    <w:p w14:paraId="518564ED"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65" w:history="1">
        <w:r w:rsidR="007E378A" w:rsidRPr="00A06EA8">
          <w:rPr>
            <w:rStyle w:val="Hyperlink"/>
            <w:noProof/>
          </w:rPr>
          <w:t>Figure 5.9: SDG&amp;E Hourly Event Day Load Impacts for the Typical Event Day in a Utility-Specific 1-in-2 Weather Year for August</w:t>
        </w:r>
        <w:r w:rsidR="007E378A">
          <w:rPr>
            <w:noProof/>
            <w:webHidden/>
          </w:rPr>
          <w:tab/>
        </w:r>
        <w:r w:rsidR="007E378A">
          <w:rPr>
            <w:noProof/>
            <w:webHidden/>
          </w:rPr>
          <w:fldChar w:fldCharType="begin"/>
        </w:r>
        <w:r w:rsidR="007E378A">
          <w:rPr>
            <w:noProof/>
            <w:webHidden/>
          </w:rPr>
          <w:instrText xml:space="preserve"> PAGEREF _Toc415489065 \h </w:instrText>
        </w:r>
        <w:r w:rsidR="007E378A">
          <w:rPr>
            <w:noProof/>
            <w:webHidden/>
          </w:rPr>
        </w:r>
        <w:r w:rsidR="007E378A">
          <w:rPr>
            <w:noProof/>
            <w:webHidden/>
          </w:rPr>
          <w:fldChar w:fldCharType="separate"/>
        </w:r>
        <w:r w:rsidR="007E378A">
          <w:rPr>
            <w:noProof/>
            <w:webHidden/>
          </w:rPr>
          <w:t>43</w:t>
        </w:r>
        <w:r w:rsidR="007E378A">
          <w:rPr>
            <w:noProof/>
            <w:webHidden/>
          </w:rPr>
          <w:fldChar w:fldCharType="end"/>
        </w:r>
      </w:hyperlink>
    </w:p>
    <w:p w14:paraId="057DB696"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66" w:history="1">
        <w:r w:rsidR="007E378A" w:rsidRPr="00A06EA8">
          <w:rPr>
            <w:rStyle w:val="Hyperlink"/>
            <w:noProof/>
          </w:rPr>
          <w:t>Figure 5.10: SDG&amp;E Hourly Event Day Load Impacts for the February Peak Day in a Utility-Specific 1-in-2 Weather Year</w:t>
        </w:r>
        <w:r w:rsidR="007E378A">
          <w:rPr>
            <w:noProof/>
            <w:webHidden/>
          </w:rPr>
          <w:tab/>
        </w:r>
        <w:r w:rsidR="007E378A">
          <w:rPr>
            <w:noProof/>
            <w:webHidden/>
          </w:rPr>
          <w:fldChar w:fldCharType="begin"/>
        </w:r>
        <w:r w:rsidR="007E378A">
          <w:rPr>
            <w:noProof/>
            <w:webHidden/>
          </w:rPr>
          <w:instrText xml:space="preserve"> PAGEREF _Toc415489066 \h </w:instrText>
        </w:r>
        <w:r w:rsidR="007E378A">
          <w:rPr>
            <w:noProof/>
            <w:webHidden/>
          </w:rPr>
        </w:r>
        <w:r w:rsidR="007E378A">
          <w:rPr>
            <w:noProof/>
            <w:webHidden/>
          </w:rPr>
          <w:fldChar w:fldCharType="separate"/>
        </w:r>
        <w:r w:rsidR="007E378A">
          <w:rPr>
            <w:noProof/>
            <w:webHidden/>
          </w:rPr>
          <w:t>43</w:t>
        </w:r>
        <w:r w:rsidR="007E378A">
          <w:rPr>
            <w:noProof/>
            <w:webHidden/>
          </w:rPr>
          <w:fldChar w:fldCharType="end"/>
        </w:r>
      </w:hyperlink>
    </w:p>
    <w:p w14:paraId="42D24DD7"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67" w:history="1">
        <w:r w:rsidR="007E378A" w:rsidRPr="00A06EA8">
          <w:rPr>
            <w:rStyle w:val="Hyperlink"/>
            <w:noProof/>
          </w:rPr>
          <w:t>Figure A.1: Average Event-Hour Load Impacts by Specification, PG&amp;E Summer Models</w:t>
        </w:r>
        <w:r w:rsidR="007E378A">
          <w:rPr>
            <w:noProof/>
            <w:webHidden/>
          </w:rPr>
          <w:tab/>
        </w:r>
        <w:r w:rsidR="007E378A">
          <w:rPr>
            <w:noProof/>
            <w:webHidden/>
          </w:rPr>
          <w:fldChar w:fldCharType="begin"/>
        </w:r>
        <w:r w:rsidR="007E378A">
          <w:rPr>
            <w:noProof/>
            <w:webHidden/>
          </w:rPr>
          <w:instrText xml:space="preserve"> PAGEREF _Toc415489067 \h </w:instrText>
        </w:r>
        <w:r w:rsidR="007E378A">
          <w:rPr>
            <w:noProof/>
            <w:webHidden/>
          </w:rPr>
        </w:r>
        <w:r w:rsidR="007E378A">
          <w:rPr>
            <w:noProof/>
            <w:webHidden/>
          </w:rPr>
          <w:fldChar w:fldCharType="separate"/>
        </w:r>
        <w:r w:rsidR="007E378A">
          <w:rPr>
            <w:noProof/>
            <w:webHidden/>
          </w:rPr>
          <w:t>58</w:t>
        </w:r>
        <w:r w:rsidR="007E378A">
          <w:rPr>
            <w:noProof/>
            <w:webHidden/>
          </w:rPr>
          <w:fldChar w:fldCharType="end"/>
        </w:r>
      </w:hyperlink>
    </w:p>
    <w:p w14:paraId="19011789"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68" w:history="1">
        <w:r w:rsidR="007E378A" w:rsidRPr="00A06EA8">
          <w:rPr>
            <w:rStyle w:val="Hyperlink"/>
            <w:noProof/>
          </w:rPr>
          <w:t>Figure A.2: Average Event-Hour Load Impacts by Specification, PG&amp;E Non-Summer Models</w:t>
        </w:r>
        <w:r w:rsidR="007E378A">
          <w:rPr>
            <w:noProof/>
            <w:webHidden/>
          </w:rPr>
          <w:tab/>
        </w:r>
        <w:r w:rsidR="007E378A">
          <w:rPr>
            <w:noProof/>
            <w:webHidden/>
          </w:rPr>
          <w:fldChar w:fldCharType="begin"/>
        </w:r>
        <w:r w:rsidR="007E378A">
          <w:rPr>
            <w:noProof/>
            <w:webHidden/>
          </w:rPr>
          <w:instrText xml:space="preserve"> PAGEREF _Toc415489068 \h </w:instrText>
        </w:r>
        <w:r w:rsidR="007E378A">
          <w:rPr>
            <w:noProof/>
            <w:webHidden/>
          </w:rPr>
        </w:r>
        <w:r w:rsidR="007E378A">
          <w:rPr>
            <w:noProof/>
            <w:webHidden/>
          </w:rPr>
          <w:fldChar w:fldCharType="separate"/>
        </w:r>
        <w:r w:rsidR="007E378A">
          <w:rPr>
            <w:noProof/>
            <w:webHidden/>
          </w:rPr>
          <w:t>59</w:t>
        </w:r>
        <w:r w:rsidR="007E378A">
          <w:rPr>
            <w:noProof/>
            <w:webHidden/>
          </w:rPr>
          <w:fldChar w:fldCharType="end"/>
        </w:r>
      </w:hyperlink>
    </w:p>
    <w:p w14:paraId="59F0A1DC"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69" w:history="1">
        <w:r w:rsidR="007E378A" w:rsidRPr="00A06EA8">
          <w:rPr>
            <w:rStyle w:val="Hyperlink"/>
            <w:noProof/>
          </w:rPr>
          <w:t>Figure A.3: Average Event-Hour Load Impacts by Specification, SCE Non-Summer Models</w:t>
        </w:r>
        <w:r w:rsidR="007E378A">
          <w:rPr>
            <w:noProof/>
            <w:webHidden/>
          </w:rPr>
          <w:tab/>
        </w:r>
        <w:r w:rsidR="007E378A">
          <w:rPr>
            <w:noProof/>
            <w:webHidden/>
          </w:rPr>
          <w:fldChar w:fldCharType="begin"/>
        </w:r>
        <w:r w:rsidR="007E378A">
          <w:rPr>
            <w:noProof/>
            <w:webHidden/>
          </w:rPr>
          <w:instrText xml:space="preserve"> PAGEREF _Toc415489069 \h </w:instrText>
        </w:r>
        <w:r w:rsidR="007E378A">
          <w:rPr>
            <w:noProof/>
            <w:webHidden/>
          </w:rPr>
        </w:r>
        <w:r w:rsidR="007E378A">
          <w:rPr>
            <w:noProof/>
            <w:webHidden/>
          </w:rPr>
          <w:fldChar w:fldCharType="separate"/>
        </w:r>
        <w:r w:rsidR="007E378A">
          <w:rPr>
            <w:noProof/>
            <w:webHidden/>
          </w:rPr>
          <w:t>60</w:t>
        </w:r>
        <w:r w:rsidR="007E378A">
          <w:rPr>
            <w:noProof/>
            <w:webHidden/>
          </w:rPr>
          <w:fldChar w:fldCharType="end"/>
        </w:r>
      </w:hyperlink>
    </w:p>
    <w:p w14:paraId="7F7E4C82"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70" w:history="1">
        <w:r w:rsidR="007E378A" w:rsidRPr="00A06EA8">
          <w:rPr>
            <w:rStyle w:val="Hyperlink"/>
            <w:noProof/>
          </w:rPr>
          <w:t>Figure A.4: Average Event-Hour Load Impacts by Specification, SDG&amp;E Summer Models</w:t>
        </w:r>
        <w:r w:rsidR="007E378A">
          <w:rPr>
            <w:noProof/>
            <w:webHidden/>
          </w:rPr>
          <w:tab/>
        </w:r>
        <w:r w:rsidR="007E378A">
          <w:rPr>
            <w:noProof/>
            <w:webHidden/>
          </w:rPr>
          <w:fldChar w:fldCharType="begin"/>
        </w:r>
        <w:r w:rsidR="007E378A">
          <w:rPr>
            <w:noProof/>
            <w:webHidden/>
          </w:rPr>
          <w:instrText xml:space="preserve"> PAGEREF _Toc415489070 \h </w:instrText>
        </w:r>
        <w:r w:rsidR="007E378A">
          <w:rPr>
            <w:noProof/>
            <w:webHidden/>
          </w:rPr>
        </w:r>
        <w:r w:rsidR="007E378A">
          <w:rPr>
            <w:noProof/>
            <w:webHidden/>
          </w:rPr>
          <w:fldChar w:fldCharType="separate"/>
        </w:r>
        <w:r w:rsidR="007E378A">
          <w:rPr>
            <w:noProof/>
            <w:webHidden/>
          </w:rPr>
          <w:t>60</w:t>
        </w:r>
        <w:r w:rsidR="007E378A">
          <w:rPr>
            <w:noProof/>
            <w:webHidden/>
          </w:rPr>
          <w:fldChar w:fldCharType="end"/>
        </w:r>
      </w:hyperlink>
    </w:p>
    <w:p w14:paraId="2B4A2465"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71" w:history="1">
        <w:r w:rsidR="007E378A" w:rsidRPr="00A06EA8">
          <w:rPr>
            <w:rStyle w:val="Hyperlink"/>
            <w:noProof/>
          </w:rPr>
          <w:t>Figure A.5: Average Event-Hour Load Impacts by Specification, SDG&amp;E Non-Summer Models</w:t>
        </w:r>
        <w:r w:rsidR="007E378A">
          <w:rPr>
            <w:noProof/>
            <w:webHidden/>
          </w:rPr>
          <w:tab/>
        </w:r>
        <w:r w:rsidR="007E378A">
          <w:rPr>
            <w:noProof/>
            <w:webHidden/>
          </w:rPr>
          <w:fldChar w:fldCharType="begin"/>
        </w:r>
        <w:r w:rsidR="007E378A">
          <w:rPr>
            <w:noProof/>
            <w:webHidden/>
          </w:rPr>
          <w:instrText xml:space="preserve"> PAGEREF _Toc415489071 \h </w:instrText>
        </w:r>
        <w:r w:rsidR="007E378A">
          <w:rPr>
            <w:noProof/>
            <w:webHidden/>
          </w:rPr>
        </w:r>
        <w:r w:rsidR="007E378A">
          <w:rPr>
            <w:noProof/>
            <w:webHidden/>
          </w:rPr>
          <w:fldChar w:fldCharType="separate"/>
        </w:r>
        <w:r w:rsidR="007E378A">
          <w:rPr>
            <w:noProof/>
            <w:webHidden/>
          </w:rPr>
          <w:t>60</w:t>
        </w:r>
        <w:r w:rsidR="007E378A">
          <w:rPr>
            <w:noProof/>
            <w:webHidden/>
          </w:rPr>
          <w:fldChar w:fldCharType="end"/>
        </w:r>
      </w:hyperlink>
    </w:p>
    <w:p w14:paraId="5662F242"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72" w:history="1">
        <w:r w:rsidR="007E378A" w:rsidRPr="00A06EA8">
          <w:rPr>
            <w:rStyle w:val="Hyperlink"/>
            <w:noProof/>
          </w:rPr>
          <w:t>Figure A.6: Average Predicted and Observed Loads on Event-like Days, PG&amp;E Summer</w:t>
        </w:r>
        <w:r w:rsidR="007E378A">
          <w:rPr>
            <w:noProof/>
            <w:webHidden/>
          </w:rPr>
          <w:tab/>
        </w:r>
        <w:r w:rsidR="007E378A">
          <w:rPr>
            <w:noProof/>
            <w:webHidden/>
          </w:rPr>
          <w:fldChar w:fldCharType="begin"/>
        </w:r>
        <w:r w:rsidR="007E378A">
          <w:rPr>
            <w:noProof/>
            <w:webHidden/>
          </w:rPr>
          <w:instrText xml:space="preserve"> PAGEREF _Toc415489072 \h </w:instrText>
        </w:r>
        <w:r w:rsidR="007E378A">
          <w:rPr>
            <w:noProof/>
            <w:webHidden/>
          </w:rPr>
        </w:r>
        <w:r w:rsidR="007E378A">
          <w:rPr>
            <w:noProof/>
            <w:webHidden/>
          </w:rPr>
          <w:fldChar w:fldCharType="separate"/>
        </w:r>
        <w:r w:rsidR="007E378A">
          <w:rPr>
            <w:noProof/>
            <w:webHidden/>
          </w:rPr>
          <w:t>62</w:t>
        </w:r>
        <w:r w:rsidR="007E378A">
          <w:rPr>
            <w:noProof/>
            <w:webHidden/>
          </w:rPr>
          <w:fldChar w:fldCharType="end"/>
        </w:r>
      </w:hyperlink>
    </w:p>
    <w:p w14:paraId="2CF4B754"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73" w:history="1">
        <w:r w:rsidR="007E378A" w:rsidRPr="00A06EA8">
          <w:rPr>
            <w:rStyle w:val="Hyperlink"/>
            <w:noProof/>
          </w:rPr>
          <w:t>Figure A.7: Average Predicted and Observed Loads on Event-like Days, PG&amp;E Non-Summer</w:t>
        </w:r>
        <w:r w:rsidR="007E378A">
          <w:rPr>
            <w:noProof/>
            <w:webHidden/>
          </w:rPr>
          <w:tab/>
        </w:r>
        <w:r w:rsidR="007E378A">
          <w:rPr>
            <w:noProof/>
            <w:webHidden/>
          </w:rPr>
          <w:fldChar w:fldCharType="begin"/>
        </w:r>
        <w:r w:rsidR="007E378A">
          <w:rPr>
            <w:noProof/>
            <w:webHidden/>
          </w:rPr>
          <w:instrText xml:space="preserve"> PAGEREF _Toc415489073 \h </w:instrText>
        </w:r>
        <w:r w:rsidR="007E378A">
          <w:rPr>
            <w:noProof/>
            <w:webHidden/>
          </w:rPr>
        </w:r>
        <w:r w:rsidR="007E378A">
          <w:rPr>
            <w:noProof/>
            <w:webHidden/>
          </w:rPr>
          <w:fldChar w:fldCharType="separate"/>
        </w:r>
        <w:r w:rsidR="007E378A">
          <w:rPr>
            <w:noProof/>
            <w:webHidden/>
          </w:rPr>
          <w:t>63</w:t>
        </w:r>
        <w:r w:rsidR="007E378A">
          <w:rPr>
            <w:noProof/>
            <w:webHidden/>
          </w:rPr>
          <w:fldChar w:fldCharType="end"/>
        </w:r>
      </w:hyperlink>
    </w:p>
    <w:p w14:paraId="4329D3D4"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74" w:history="1">
        <w:r w:rsidR="007E378A" w:rsidRPr="00A06EA8">
          <w:rPr>
            <w:rStyle w:val="Hyperlink"/>
            <w:noProof/>
          </w:rPr>
          <w:t>Figure A.8: Average Predicted and Observed Loads on Event-like Days, SCE Non-Summer</w:t>
        </w:r>
        <w:r w:rsidR="007E378A">
          <w:rPr>
            <w:noProof/>
            <w:webHidden/>
          </w:rPr>
          <w:tab/>
        </w:r>
        <w:r w:rsidR="007E378A">
          <w:rPr>
            <w:noProof/>
            <w:webHidden/>
          </w:rPr>
          <w:fldChar w:fldCharType="begin"/>
        </w:r>
        <w:r w:rsidR="007E378A">
          <w:rPr>
            <w:noProof/>
            <w:webHidden/>
          </w:rPr>
          <w:instrText xml:space="preserve"> PAGEREF _Toc415489074 \h </w:instrText>
        </w:r>
        <w:r w:rsidR="007E378A">
          <w:rPr>
            <w:noProof/>
            <w:webHidden/>
          </w:rPr>
        </w:r>
        <w:r w:rsidR="007E378A">
          <w:rPr>
            <w:noProof/>
            <w:webHidden/>
          </w:rPr>
          <w:fldChar w:fldCharType="separate"/>
        </w:r>
        <w:r w:rsidR="007E378A">
          <w:rPr>
            <w:noProof/>
            <w:webHidden/>
          </w:rPr>
          <w:t>64</w:t>
        </w:r>
        <w:r w:rsidR="007E378A">
          <w:rPr>
            <w:noProof/>
            <w:webHidden/>
          </w:rPr>
          <w:fldChar w:fldCharType="end"/>
        </w:r>
      </w:hyperlink>
    </w:p>
    <w:p w14:paraId="36B03C57"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75" w:history="1">
        <w:r w:rsidR="007E378A" w:rsidRPr="00A06EA8">
          <w:rPr>
            <w:rStyle w:val="Hyperlink"/>
            <w:noProof/>
          </w:rPr>
          <w:t>Figure A.9: Average Predicted and Observed Loads on Event-like Days, SDG&amp;E Summer</w:t>
        </w:r>
        <w:r w:rsidR="007E378A">
          <w:rPr>
            <w:noProof/>
            <w:webHidden/>
          </w:rPr>
          <w:tab/>
        </w:r>
        <w:r w:rsidR="007E378A">
          <w:rPr>
            <w:noProof/>
            <w:webHidden/>
          </w:rPr>
          <w:fldChar w:fldCharType="begin"/>
        </w:r>
        <w:r w:rsidR="007E378A">
          <w:rPr>
            <w:noProof/>
            <w:webHidden/>
          </w:rPr>
          <w:instrText xml:space="preserve"> PAGEREF _Toc415489075 \h </w:instrText>
        </w:r>
        <w:r w:rsidR="007E378A">
          <w:rPr>
            <w:noProof/>
            <w:webHidden/>
          </w:rPr>
        </w:r>
        <w:r w:rsidR="007E378A">
          <w:rPr>
            <w:noProof/>
            <w:webHidden/>
          </w:rPr>
          <w:fldChar w:fldCharType="separate"/>
        </w:r>
        <w:r w:rsidR="007E378A">
          <w:rPr>
            <w:noProof/>
            <w:webHidden/>
          </w:rPr>
          <w:t>64</w:t>
        </w:r>
        <w:r w:rsidR="007E378A">
          <w:rPr>
            <w:noProof/>
            <w:webHidden/>
          </w:rPr>
          <w:fldChar w:fldCharType="end"/>
        </w:r>
      </w:hyperlink>
    </w:p>
    <w:p w14:paraId="2207A4A8"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76" w:history="1">
        <w:r w:rsidR="007E378A" w:rsidRPr="00A06EA8">
          <w:rPr>
            <w:rStyle w:val="Hyperlink"/>
            <w:noProof/>
          </w:rPr>
          <w:t>Figure A.10: Average Predicted and Observed Loads on Event-like Days, SDG&amp;E Non-Summer</w:t>
        </w:r>
        <w:r w:rsidR="007E378A">
          <w:rPr>
            <w:noProof/>
            <w:webHidden/>
          </w:rPr>
          <w:tab/>
        </w:r>
        <w:r w:rsidR="007E378A">
          <w:rPr>
            <w:noProof/>
            <w:webHidden/>
          </w:rPr>
          <w:fldChar w:fldCharType="begin"/>
        </w:r>
        <w:r w:rsidR="007E378A">
          <w:rPr>
            <w:noProof/>
            <w:webHidden/>
          </w:rPr>
          <w:instrText xml:space="preserve"> PAGEREF _Toc415489076 \h </w:instrText>
        </w:r>
        <w:r w:rsidR="007E378A">
          <w:rPr>
            <w:noProof/>
            <w:webHidden/>
          </w:rPr>
        </w:r>
        <w:r w:rsidR="007E378A">
          <w:rPr>
            <w:noProof/>
            <w:webHidden/>
          </w:rPr>
          <w:fldChar w:fldCharType="separate"/>
        </w:r>
        <w:r w:rsidR="007E378A">
          <w:rPr>
            <w:noProof/>
            <w:webHidden/>
          </w:rPr>
          <w:t>64</w:t>
        </w:r>
        <w:r w:rsidR="007E378A">
          <w:rPr>
            <w:noProof/>
            <w:webHidden/>
          </w:rPr>
          <w:fldChar w:fldCharType="end"/>
        </w:r>
      </w:hyperlink>
    </w:p>
    <w:p w14:paraId="1A448CB6" w14:textId="77777777" w:rsidR="007E378A" w:rsidRDefault="00891D9B">
      <w:pPr>
        <w:pStyle w:val="TableofFigures"/>
        <w:tabs>
          <w:tab w:val="right" w:leader="dot" w:pos="9350"/>
        </w:tabs>
        <w:rPr>
          <w:rFonts w:asciiTheme="minorHAnsi" w:eastAsiaTheme="minorEastAsia" w:hAnsiTheme="minorHAnsi" w:cstheme="minorBidi"/>
          <w:noProof/>
          <w:sz w:val="22"/>
          <w:szCs w:val="22"/>
        </w:rPr>
      </w:pPr>
      <w:hyperlink w:anchor="_Toc415489077" w:history="1">
        <w:r w:rsidR="007E378A" w:rsidRPr="00A06EA8">
          <w:rPr>
            <w:rStyle w:val="Hyperlink"/>
            <w:noProof/>
          </w:rPr>
          <w:t>Figure A.11: Comparison of 15-minute and 60-minute Load Impact Estimates, PG&amp;E</w:t>
        </w:r>
        <w:r w:rsidR="007E378A">
          <w:rPr>
            <w:noProof/>
            <w:webHidden/>
          </w:rPr>
          <w:tab/>
        </w:r>
        <w:r w:rsidR="007E378A">
          <w:rPr>
            <w:noProof/>
            <w:webHidden/>
          </w:rPr>
          <w:fldChar w:fldCharType="begin"/>
        </w:r>
        <w:r w:rsidR="007E378A">
          <w:rPr>
            <w:noProof/>
            <w:webHidden/>
          </w:rPr>
          <w:instrText xml:space="preserve"> PAGEREF _Toc415489077 \h </w:instrText>
        </w:r>
        <w:r w:rsidR="007E378A">
          <w:rPr>
            <w:noProof/>
            <w:webHidden/>
          </w:rPr>
        </w:r>
        <w:r w:rsidR="007E378A">
          <w:rPr>
            <w:noProof/>
            <w:webHidden/>
          </w:rPr>
          <w:fldChar w:fldCharType="separate"/>
        </w:r>
        <w:r w:rsidR="007E378A">
          <w:rPr>
            <w:noProof/>
            <w:webHidden/>
          </w:rPr>
          <w:t>65</w:t>
        </w:r>
        <w:r w:rsidR="007E378A">
          <w:rPr>
            <w:noProof/>
            <w:webHidden/>
          </w:rPr>
          <w:fldChar w:fldCharType="end"/>
        </w:r>
      </w:hyperlink>
    </w:p>
    <w:p w14:paraId="0E4EE11E" w14:textId="77777777" w:rsidR="00321E09" w:rsidRDefault="00321E09" w:rsidP="00321E09">
      <w:pPr>
        <w:tabs>
          <w:tab w:val="left" w:pos="1080"/>
          <w:tab w:val="right" w:leader="dot" w:pos="9360"/>
        </w:tabs>
        <w:spacing w:afterLines="60" w:after="144" w:line="360" w:lineRule="auto"/>
        <w:ind w:left="1181" w:right="720" w:hanging="1181"/>
        <w:jc w:val="center"/>
        <w:rPr>
          <w:b/>
          <w:sz w:val="28"/>
          <w:szCs w:val="28"/>
        </w:rPr>
        <w:sectPr w:rsidR="00321E09" w:rsidSect="00411FC1">
          <w:pgSz w:w="12240" w:h="15840"/>
          <w:pgMar w:top="1440" w:right="1440" w:bottom="1440" w:left="1440" w:header="720" w:footer="720" w:gutter="0"/>
          <w:pgNumType w:fmt="lowerRoman"/>
          <w:cols w:space="720"/>
          <w:docGrid w:linePitch="360"/>
        </w:sectPr>
      </w:pPr>
      <w:r>
        <w:rPr>
          <w:b/>
          <w:sz w:val="28"/>
          <w:szCs w:val="28"/>
        </w:rPr>
        <w:fldChar w:fldCharType="end"/>
      </w:r>
    </w:p>
    <w:p w14:paraId="031F03C2" w14:textId="77777777" w:rsidR="00321E09" w:rsidRDefault="00321E09" w:rsidP="00A0250B">
      <w:pPr>
        <w:pStyle w:val="Heading1"/>
      </w:pPr>
      <w:bookmarkStart w:id="1" w:name="_Toc415488931"/>
      <w:r>
        <w:lastRenderedPageBreak/>
        <w:t>Abstract</w:t>
      </w:r>
      <w:bookmarkEnd w:id="1"/>
    </w:p>
    <w:p w14:paraId="4081ED53" w14:textId="75371B38" w:rsidR="00156F79" w:rsidRDefault="00156F79" w:rsidP="00156F79">
      <w:r>
        <w:t>This report documents ex post and ex ante load impact evaluations for the statewide Base Interruptible Program (“BIP”) in place at Pacific Gas and Electric Company (“PG&amp;E”), Southern California Edison (“SCE”), and San Diego Gas and Electric Company (“SDG&amp;E”) in 2014. The report provides estimates of ex post load impacts that occurred during events called in 2014 and an ex ante forecast of load impacts for 2015 through 2025 that is based on the IOU’s enrollment forecasts and the ex post load impacts estimated for the 2014 program year.</w:t>
      </w:r>
    </w:p>
    <w:p w14:paraId="219F2358" w14:textId="77777777" w:rsidR="001964C6" w:rsidRDefault="001964C6" w:rsidP="00156F79"/>
    <w:p w14:paraId="4F8FE494" w14:textId="00F9D852" w:rsidR="001964C6" w:rsidRDefault="001964C6" w:rsidP="001964C6">
      <w:r w:rsidRPr="00305DDF">
        <w:t>Base Interruptible Program</w:t>
      </w:r>
      <w:r>
        <w:t>s</w:t>
      </w:r>
      <w:r w:rsidRPr="00305DDF">
        <w:t xml:space="preserve"> are statewide voluntary programs that offer customers a monthly capacity bill credit in exchange for the commitment to reduce their energy consumption to an amount that meets the customer’s minimum operational requirements, also known as a Firm Service Level (</w:t>
      </w:r>
      <w:r>
        <w:t>“</w:t>
      </w:r>
      <w:r w:rsidRPr="00305DDF">
        <w:t>FSL</w:t>
      </w:r>
      <w:r>
        <w:t>”</w:t>
      </w:r>
      <w:r w:rsidRPr="00305DDF">
        <w:t>).</w:t>
      </w:r>
      <w:r>
        <w:t xml:space="preserve"> </w:t>
      </w:r>
    </w:p>
    <w:p w14:paraId="199BF74B" w14:textId="77777777" w:rsidR="00156F79" w:rsidRDefault="00156F79" w:rsidP="00156F79"/>
    <w:p w14:paraId="085BAEE4" w14:textId="76883760" w:rsidR="001964C6" w:rsidRDefault="005077E2" w:rsidP="00156F79">
      <w:r>
        <w:t>All three utilities called a full program event on February 6, 2014. That was SCE’s only BIP event of PY2014. PG&amp;E called two partial re-test events (in April and May) and another full test event on September 11, 2014. SDG&amp;E called two additional events on May 14</w:t>
      </w:r>
      <w:r w:rsidRPr="005077E2">
        <w:rPr>
          <w:vertAlign w:val="superscript"/>
        </w:rPr>
        <w:t>th</w:t>
      </w:r>
      <w:r>
        <w:t xml:space="preserve"> and 16</w:t>
      </w:r>
      <w:r w:rsidRPr="005077E2">
        <w:rPr>
          <w:vertAlign w:val="superscript"/>
        </w:rPr>
        <w:t>th</w:t>
      </w:r>
      <w:r>
        <w:t>. Enrollment in PG&amp;E’s BIP was 218 service a</w:t>
      </w:r>
      <w:r w:rsidR="00383F6F">
        <w:t>greements</w:t>
      </w:r>
      <w:r>
        <w:t xml:space="preserve"> on September 11. The sum of the enrolled customers’ coincident maximum demands on that day was 323 MW. Enrollment in SCE’s BIP was 620 service a</w:t>
      </w:r>
      <w:r w:rsidR="00C70496">
        <w:t>ccounts</w:t>
      </w:r>
      <w:r>
        <w:t xml:space="preserve"> on the February 6 event day. The sum of the enrolled customers’ coincident maximum demands on that day was </w:t>
      </w:r>
      <w:r w:rsidR="00EF06D1">
        <w:t>7</w:t>
      </w:r>
      <w:r>
        <w:t>77 MW. SDG</w:t>
      </w:r>
      <w:r w:rsidR="00D06F92">
        <w:t>&amp;</w:t>
      </w:r>
      <w:r>
        <w:t xml:space="preserve">E’s BIP enrollment was 7 service accounts on each event day and the sum of enrolled customer coincident maximum demands on the May 16 event day was 4.2 MW. </w:t>
      </w:r>
    </w:p>
    <w:p w14:paraId="40510E7F" w14:textId="77777777" w:rsidR="001964C6" w:rsidRDefault="001964C6" w:rsidP="00156F79"/>
    <w:p w14:paraId="6816189C" w14:textId="7799BA24" w:rsidR="00156F79" w:rsidRDefault="00156F79" w:rsidP="00156F79">
      <w:r>
        <w:t xml:space="preserve">Ex post load impacts were estimated from regression analysis of customer-level hourly load data, where the equations modeled hourly load as a function of variables that control for factors affecting consumers’ hourly demand levels. BIP load impacts for each event were obtained by summing the estimated hourly event coefficients across the customer-level models.  </w:t>
      </w:r>
    </w:p>
    <w:p w14:paraId="32BAFF8D" w14:textId="77777777" w:rsidR="00156F79" w:rsidRDefault="00156F79" w:rsidP="00156F79"/>
    <w:p w14:paraId="4AEA86C2" w14:textId="74721D53" w:rsidR="00156F79" w:rsidRDefault="00414137" w:rsidP="00156F79">
      <w:r>
        <w:t>The total program load impact for PG&amp;E’s September 11</w:t>
      </w:r>
      <w:r w:rsidRPr="00972362">
        <w:rPr>
          <w:vertAlign w:val="superscript"/>
        </w:rPr>
        <w:t>th</w:t>
      </w:r>
      <w:r>
        <w:t xml:space="preserve"> test event averaged 228 MW, or 79.8 percent of enrolled load, representing 102% of the reduction required to meet the aggregate FSL.</w:t>
      </w:r>
      <w:r w:rsidR="00156F79">
        <w:t xml:space="preserve"> </w:t>
      </w:r>
    </w:p>
    <w:p w14:paraId="2240A5B5" w14:textId="77777777" w:rsidR="00156F79" w:rsidRDefault="00156F79" w:rsidP="00156F79"/>
    <w:p w14:paraId="7D645423" w14:textId="77777777" w:rsidR="00414137" w:rsidRDefault="00414137" w:rsidP="00414137">
      <w:r w:rsidRPr="009D488A">
        <w:t xml:space="preserve">For SCE, </w:t>
      </w:r>
      <w:r>
        <w:t>the average hourly load impact</w:t>
      </w:r>
      <w:r w:rsidRPr="009D488A">
        <w:t xml:space="preserve"> </w:t>
      </w:r>
      <w:r>
        <w:t>for its February 6</w:t>
      </w:r>
      <w:r w:rsidRPr="00D66C97">
        <w:rPr>
          <w:vertAlign w:val="superscript"/>
        </w:rPr>
        <w:t>th</w:t>
      </w:r>
      <w:r>
        <w:t xml:space="preserve"> event was</w:t>
      </w:r>
      <w:r w:rsidRPr="009D488A">
        <w:t xml:space="preserve"> </w:t>
      </w:r>
      <w:r>
        <w:t>624 MW, or 83</w:t>
      </w:r>
      <w:r w:rsidRPr="009D488A">
        <w:t xml:space="preserve"> percent of the total reference load. </w:t>
      </w:r>
      <w:r>
        <w:t>This was 93 percent of the reduction required to meet the aggregate FSL.</w:t>
      </w:r>
    </w:p>
    <w:p w14:paraId="0CFCCEAF" w14:textId="77777777" w:rsidR="00414137" w:rsidRDefault="00414137" w:rsidP="00414137"/>
    <w:p w14:paraId="0F48C1EB" w14:textId="54199284" w:rsidR="00156F79" w:rsidRDefault="00414137" w:rsidP="00414137">
      <w:r>
        <w:t>SDG&amp;E’s total load impact for its May 16</w:t>
      </w:r>
      <w:r w:rsidRPr="008C719C">
        <w:rPr>
          <w:vertAlign w:val="superscript"/>
        </w:rPr>
        <w:t>th</w:t>
      </w:r>
      <w:r>
        <w:t xml:space="preserve"> test event averaged 2 MW, or </w:t>
      </w:r>
      <w:r w:rsidR="00B525DE">
        <w:t>50</w:t>
      </w:r>
      <w:r>
        <w:t xml:space="preserve"> percent of enrolled load, representing </w:t>
      </w:r>
      <w:r w:rsidR="00B525DE">
        <w:t>8</w:t>
      </w:r>
      <w:r>
        <w:t>1% of the reduction required to meet the aggregate FSL.</w:t>
      </w:r>
    </w:p>
    <w:p w14:paraId="49B50738" w14:textId="77777777" w:rsidR="00414137" w:rsidRDefault="00414137" w:rsidP="00414137"/>
    <w:p w14:paraId="5831354E" w14:textId="4D06244C" w:rsidR="00156F79" w:rsidRDefault="00156F79" w:rsidP="00156F79">
      <w:r w:rsidRPr="00414137">
        <w:lastRenderedPageBreak/>
        <w:t xml:space="preserve">In the ex ante evaluation, SCE forecasts </w:t>
      </w:r>
      <w:r w:rsidR="00414137">
        <w:t>BIP</w:t>
      </w:r>
      <w:r w:rsidRPr="00414137">
        <w:t xml:space="preserve"> customer enrollment to decrease </w:t>
      </w:r>
      <w:r w:rsidR="0068315F">
        <w:t xml:space="preserve">slightly from </w:t>
      </w:r>
      <w:r w:rsidR="00414137">
        <w:t>2015 through 2017</w:t>
      </w:r>
      <w:r w:rsidRPr="00414137">
        <w:t xml:space="preserve"> due to </w:t>
      </w:r>
      <w:r w:rsidR="00414137">
        <w:t>a combination of opt outs and disqualifications from the program</w:t>
      </w:r>
      <w:r w:rsidRPr="00414137">
        <w:t xml:space="preserve">. </w:t>
      </w:r>
      <w:r w:rsidRPr="0068315F">
        <w:t>During the 201</w:t>
      </w:r>
      <w:r w:rsidR="0068315F">
        <w:t>5</w:t>
      </w:r>
      <w:r w:rsidRPr="0068315F">
        <w:t xml:space="preserve"> program year, SCE's average event-hour load impact is approximately </w:t>
      </w:r>
      <w:r w:rsidR="0068315F">
        <w:t>668</w:t>
      </w:r>
      <w:r w:rsidRPr="0068315F">
        <w:t xml:space="preserve"> MW. PG&amp;E forecasts B</w:t>
      </w:r>
      <w:r w:rsidR="005077E2" w:rsidRPr="0068315F">
        <w:t>I</w:t>
      </w:r>
      <w:r w:rsidRPr="0068315F">
        <w:t xml:space="preserve">P enrollment to </w:t>
      </w:r>
      <w:r w:rsidR="005077E2" w:rsidRPr="0068315F">
        <w:t>remain constant from 2015 to 2025 at 203 service a</w:t>
      </w:r>
      <w:r w:rsidR="00383F6F">
        <w:t>greement</w:t>
      </w:r>
      <w:r w:rsidR="005077E2" w:rsidRPr="0068315F">
        <w:t>s</w:t>
      </w:r>
      <w:r w:rsidRPr="0068315F">
        <w:t xml:space="preserve">. PG&amp;E's </w:t>
      </w:r>
      <w:r w:rsidR="0068315F">
        <w:t xml:space="preserve">average event-hour </w:t>
      </w:r>
      <w:r w:rsidRPr="0068315F">
        <w:t>load impact</w:t>
      </w:r>
      <w:r w:rsidR="0068315F">
        <w:t xml:space="preserve"> is</w:t>
      </w:r>
      <w:r w:rsidRPr="0068315F">
        <w:t xml:space="preserve"> forecast to be </w:t>
      </w:r>
      <w:r w:rsidR="0068315F">
        <w:t>246</w:t>
      </w:r>
      <w:r w:rsidRPr="0068315F">
        <w:t xml:space="preserve"> MW during a </w:t>
      </w:r>
      <w:r w:rsidR="0068315F">
        <w:t xml:space="preserve">utility-specific </w:t>
      </w:r>
      <w:r w:rsidRPr="0068315F">
        <w:t>1-in-2 August</w:t>
      </w:r>
      <w:r w:rsidR="0068315F">
        <w:t xml:space="preserve"> 2015</w:t>
      </w:r>
      <w:r w:rsidRPr="0068315F">
        <w:t xml:space="preserve"> peak day. </w:t>
      </w:r>
      <w:r w:rsidR="0068315F">
        <w:t>SDG&amp;E enrollment remains constant throughout the forecast period, at 7 service accounts. SD</w:t>
      </w:r>
      <w:r w:rsidR="0068315F" w:rsidRPr="0068315F">
        <w:t xml:space="preserve">G&amp;E's </w:t>
      </w:r>
      <w:r w:rsidR="0068315F">
        <w:t xml:space="preserve">average event-hour </w:t>
      </w:r>
      <w:r w:rsidR="0068315F" w:rsidRPr="0068315F">
        <w:t>load impact</w:t>
      </w:r>
      <w:r w:rsidR="0068315F">
        <w:t xml:space="preserve"> is</w:t>
      </w:r>
      <w:r w:rsidR="0068315F" w:rsidRPr="0068315F">
        <w:t xml:space="preserve"> forecast to be </w:t>
      </w:r>
      <w:r w:rsidR="0068315F">
        <w:t>1.4</w:t>
      </w:r>
      <w:r w:rsidR="0068315F" w:rsidRPr="0068315F">
        <w:t xml:space="preserve"> MW during a </w:t>
      </w:r>
      <w:r w:rsidR="0068315F">
        <w:t xml:space="preserve">utility-specific </w:t>
      </w:r>
      <w:r w:rsidR="0068315F" w:rsidRPr="0068315F">
        <w:t xml:space="preserve">1-in-2 August </w:t>
      </w:r>
      <w:r w:rsidR="0068315F">
        <w:t xml:space="preserve">2015 </w:t>
      </w:r>
      <w:r w:rsidR="0068315F" w:rsidRPr="0068315F">
        <w:t>peak day.</w:t>
      </w:r>
    </w:p>
    <w:p w14:paraId="6896928F" w14:textId="72D6CB2C" w:rsidR="00321E09" w:rsidRDefault="00321E09" w:rsidP="00156F79">
      <w:r>
        <w:br w:type="page"/>
      </w:r>
      <w:bookmarkStart w:id="2" w:name="_Toc415488932"/>
      <w:r w:rsidRPr="00156F79">
        <w:rPr>
          <w:rStyle w:val="Heading1Char"/>
        </w:rPr>
        <w:lastRenderedPageBreak/>
        <w:t>Executive Summary</w:t>
      </w:r>
      <w:bookmarkEnd w:id="2"/>
      <w:r w:rsidRPr="00A4025E">
        <w:t xml:space="preserve"> </w:t>
      </w:r>
    </w:p>
    <w:p w14:paraId="2247C1D3" w14:textId="77777777" w:rsidR="00A23C0A" w:rsidRDefault="00A23C0A" w:rsidP="00A23C0A">
      <w:r>
        <w:t xml:space="preserve">This report documents ex post and ex ante load impact evaluations for the statewide Base Interruptible Program (“BIP”) in place at Pacific Gas and Electric Company (“PG&amp;E”), Southern California Edison (“SCE”), and San Diego Gas and Electric Company (“SDG&amp;E”) in 2014. The report provides estimates of ex post load impacts that occurred during events called in 2014 and an ex ante forecast of load impacts for 2015 through 2025 that is based on the IOU’s enrollment forecasts and the ex post load impacts estimated for the 2014 program year. </w:t>
      </w:r>
    </w:p>
    <w:p w14:paraId="35E37E7D" w14:textId="77777777" w:rsidR="00A23C0A" w:rsidRDefault="00A23C0A" w:rsidP="00A23C0A"/>
    <w:p w14:paraId="73785C25" w14:textId="77777777" w:rsidR="00A23C0A" w:rsidRDefault="00A23C0A" w:rsidP="00A23C0A">
      <w:pPr>
        <w:spacing w:after="240"/>
      </w:pPr>
      <w:r>
        <w:t>The primary research questions addressed by this evaluation are:</w:t>
      </w:r>
    </w:p>
    <w:p w14:paraId="6B73F65E" w14:textId="77777777" w:rsidR="00A23C0A" w:rsidRDefault="00A23C0A" w:rsidP="00A23C0A">
      <w:pPr>
        <w:numPr>
          <w:ilvl w:val="0"/>
          <w:numId w:val="9"/>
        </w:numPr>
      </w:pPr>
      <w:r>
        <w:t>What were the BIP load impacts in 2014?</w:t>
      </w:r>
    </w:p>
    <w:p w14:paraId="5ABF68F6" w14:textId="77777777" w:rsidR="00A23C0A" w:rsidRDefault="00A23C0A" w:rsidP="00A23C0A">
      <w:pPr>
        <w:numPr>
          <w:ilvl w:val="0"/>
          <w:numId w:val="9"/>
        </w:numPr>
      </w:pPr>
      <w:r>
        <w:t>How were the load impacts distributed across industry groups?</w:t>
      </w:r>
    </w:p>
    <w:p w14:paraId="7C2A8619" w14:textId="77777777" w:rsidR="00A23C0A" w:rsidRDefault="00A23C0A" w:rsidP="00A23C0A">
      <w:pPr>
        <w:numPr>
          <w:ilvl w:val="0"/>
          <w:numId w:val="9"/>
        </w:numPr>
      </w:pPr>
      <w:r>
        <w:t>How were the load impacts distributed across CAISO local capacity areas?</w:t>
      </w:r>
    </w:p>
    <w:p w14:paraId="06675A08" w14:textId="77777777" w:rsidR="00A23C0A" w:rsidRDefault="00A23C0A" w:rsidP="00A23C0A">
      <w:pPr>
        <w:numPr>
          <w:ilvl w:val="0"/>
          <w:numId w:val="9"/>
        </w:numPr>
      </w:pPr>
      <w:r>
        <w:t>What are the ex ante load impacts for 2015 through 2025?</w:t>
      </w:r>
    </w:p>
    <w:p w14:paraId="52D3BE8B" w14:textId="7C7D50F1" w:rsidR="00214534" w:rsidRDefault="00A23C0A" w:rsidP="00A23C0A">
      <w:pPr>
        <w:pStyle w:val="Heading2"/>
      </w:pPr>
      <w:bookmarkStart w:id="3" w:name="_Toc415488933"/>
      <w:r>
        <w:t>ES.1 Resources Covered</w:t>
      </w:r>
      <w:bookmarkEnd w:id="3"/>
    </w:p>
    <w:p w14:paraId="4FAEB5B2" w14:textId="57A8B8D5" w:rsidR="00A23C0A" w:rsidRDefault="003C5558" w:rsidP="003C5558">
      <w:pPr>
        <w:pStyle w:val="Heading3"/>
      </w:pPr>
      <w:bookmarkStart w:id="4" w:name="_Toc415488934"/>
      <w:r>
        <w:t>Base Interruptible Program</w:t>
      </w:r>
      <w:bookmarkEnd w:id="4"/>
    </w:p>
    <w:p w14:paraId="47490745" w14:textId="727BE39E" w:rsidR="003C5558" w:rsidRDefault="003C5558" w:rsidP="003C5558">
      <w:r w:rsidRPr="00305DDF">
        <w:t>Base Interruptible Program</w:t>
      </w:r>
      <w:r>
        <w:t>s</w:t>
      </w:r>
      <w:r w:rsidRPr="00305DDF">
        <w:t xml:space="preserve"> are statewide voluntary programs that offer customers a monthly capacity bill credit in exchange for the commitment to reduce their energy consumption to an amount that meets the customer’s minimum operational requirements, also known as a Firm Service Level (</w:t>
      </w:r>
      <w:r>
        <w:t>“</w:t>
      </w:r>
      <w:r w:rsidRPr="00305DDF">
        <w:t>FSL</w:t>
      </w:r>
      <w:r>
        <w:t>”</w:t>
      </w:r>
      <w:r w:rsidRPr="00305DDF">
        <w:t>).</w:t>
      </w:r>
    </w:p>
    <w:p w14:paraId="4C87ECA0" w14:textId="77777777" w:rsidR="00DF4C3A" w:rsidRDefault="00DF4C3A" w:rsidP="003C5558"/>
    <w:p w14:paraId="158D930A" w14:textId="734EA319" w:rsidR="00DF4C3A" w:rsidRDefault="00DF4C3A" w:rsidP="003C5558">
      <w:r w:rsidRPr="00305DDF">
        <w:t>There are a number of similarities and differences in the BIPs offered by the California investor-owned utilities (</w:t>
      </w:r>
      <w:r>
        <w:t>“</w:t>
      </w:r>
      <w:r w:rsidRPr="00305DDF">
        <w:t>IOUs</w:t>
      </w:r>
      <w:r>
        <w:t>”</w:t>
      </w:r>
      <w:r w:rsidRPr="00305DDF">
        <w:t>)</w:t>
      </w:r>
      <w:r>
        <w:t xml:space="preserve">. </w:t>
      </w:r>
      <w:r w:rsidRPr="00305DDF">
        <w:t>The programs consist of an interruptible tariff available to both customers and aggregators with a minimum demand.</w:t>
      </w:r>
    </w:p>
    <w:p w14:paraId="2AD3E654" w14:textId="77777777" w:rsidR="00DF4C3A" w:rsidRDefault="00DF4C3A" w:rsidP="003C5558"/>
    <w:p w14:paraId="4E4EB9FB" w14:textId="77777777" w:rsidR="00DF4C3A" w:rsidRDefault="00DF4C3A" w:rsidP="00E32B24">
      <w:r>
        <w:t>All three utilities called an event on February 6, 2014. PG&amp;E called two re-test events on April 17</w:t>
      </w:r>
      <w:r w:rsidRPr="00E955B5">
        <w:rPr>
          <w:vertAlign w:val="superscript"/>
        </w:rPr>
        <w:t>th</w:t>
      </w:r>
      <w:r>
        <w:t xml:space="preserve"> and May 15</w:t>
      </w:r>
      <w:r w:rsidRPr="00E955B5">
        <w:rPr>
          <w:vertAlign w:val="superscript"/>
        </w:rPr>
        <w:t>th</w:t>
      </w:r>
      <w:r>
        <w:t xml:space="preserve"> and an additional test event on September 11</w:t>
      </w:r>
      <w:r w:rsidRPr="00E955B5">
        <w:rPr>
          <w:vertAlign w:val="superscript"/>
        </w:rPr>
        <w:t>th</w:t>
      </w:r>
      <w:r>
        <w:t>. SDG&amp;E called two additional program events on May 14</w:t>
      </w:r>
      <w:r w:rsidRPr="00E955B5">
        <w:rPr>
          <w:vertAlign w:val="superscript"/>
        </w:rPr>
        <w:t>th</w:t>
      </w:r>
      <w:r>
        <w:t xml:space="preserve"> and 16</w:t>
      </w:r>
      <w:r w:rsidRPr="00E955B5">
        <w:rPr>
          <w:vertAlign w:val="superscript"/>
        </w:rPr>
        <w:t>th</w:t>
      </w:r>
      <w:r>
        <w:t xml:space="preserve">. </w:t>
      </w:r>
    </w:p>
    <w:p w14:paraId="3515A078" w14:textId="62A16F5B" w:rsidR="00DF4C3A" w:rsidRDefault="00DF4C3A" w:rsidP="00DF4C3A">
      <w:pPr>
        <w:pStyle w:val="Heading3"/>
      </w:pPr>
      <w:bookmarkStart w:id="5" w:name="_Toc415488935"/>
      <w:r>
        <w:t>Enrollment</w:t>
      </w:r>
      <w:bookmarkEnd w:id="5"/>
    </w:p>
    <w:p w14:paraId="7AD69121" w14:textId="53E2DC1A" w:rsidR="00AA1775" w:rsidRDefault="00AA1775" w:rsidP="00AA1775">
      <w:r w:rsidRPr="002C31CE">
        <w:t>Enrollment in PG&amp;E’s B</w:t>
      </w:r>
      <w:r>
        <w:t>I</w:t>
      </w:r>
      <w:r w:rsidRPr="002C31CE">
        <w:t xml:space="preserve">P </w:t>
      </w:r>
      <w:r>
        <w:t>decreased relative to PY2013, from 280 to 218 in 2014</w:t>
      </w:r>
      <w:r w:rsidRPr="002C31CE">
        <w:t xml:space="preserve">. </w:t>
      </w:r>
      <w:r>
        <w:t>T</w:t>
      </w:r>
      <w:r w:rsidRPr="002C31CE">
        <w:t xml:space="preserve">he sum of enrolled customers’ </w:t>
      </w:r>
      <w:r>
        <w:t>coincident</w:t>
      </w:r>
      <w:r w:rsidRPr="002C31CE">
        <w:t xml:space="preserve"> maximum demands </w:t>
      </w:r>
      <w:r>
        <w:t xml:space="preserve">was 323 MW, or 1.48 </w:t>
      </w:r>
      <w:r w:rsidRPr="009D06AF">
        <w:t xml:space="preserve">MW for the average </w:t>
      </w:r>
      <w:r>
        <w:t>service a</w:t>
      </w:r>
      <w:r w:rsidR="00383F6F">
        <w:t>greement</w:t>
      </w:r>
      <w:r w:rsidRPr="009D06AF">
        <w:t>.</w:t>
      </w:r>
      <w:r w:rsidRPr="002C31CE">
        <w:t xml:space="preserve"> T</w:t>
      </w:r>
      <w:r>
        <w:t>he manufacturing industry group contains more than half of the enrolled load. Figure ES.1 illustrates the distribution of BIP load across the indicated industry types.</w:t>
      </w:r>
    </w:p>
    <w:p w14:paraId="0D4F0E5B" w14:textId="77777777" w:rsidR="00DF1119" w:rsidRDefault="00DF1119" w:rsidP="00AA1775"/>
    <w:p w14:paraId="2F128B9C" w14:textId="66DF1A52" w:rsidR="00AA1775" w:rsidRDefault="00AA1775" w:rsidP="0044261B">
      <w:pPr>
        <w:keepNext/>
        <w:keepLines/>
        <w:jc w:val="center"/>
      </w:pPr>
      <w:bookmarkStart w:id="6" w:name="_Toc415489047"/>
      <w:r w:rsidRPr="0044261B">
        <w:rPr>
          <w:rStyle w:val="FigureCaptionChar"/>
        </w:rPr>
        <w:lastRenderedPageBreak/>
        <w:t>Figure ES.1 Distribution of BIP Enrolled Load by Industry Type, PG&amp;E</w:t>
      </w:r>
      <w:bookmarkEnd w:id="6"/>
      <w:r w:rsidR="00F10E28">
        <w:rPr>
          <w:noProof/>
        </w:rPr>
        <w:drawing>
          <wp:inline distT="0" distB="0" distL="0" distR="0" wp14:anchorId="1C461CE6" wp14:editId="1801B6AD">
            <wp:extent cx="5669280" cy="4123944"/>
            <wp:effectExtent l="0" t="0" r="762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69280" cy="4123944"/>
                    </a:xfrm>
                    <a:prstGeom prst="rect">
                      <a:avLst/>
                    </a:prstGeom>
                    <a:noFill/>
                  </pic:spPr>
                </pic:pic>
              </a:graphicData>
            </a:graphic>
          </wp:inline>
        </w:drawing>
      </w:r>
    </w:p>
    <w:p w14:paraId="79807E4F" w14:textId="284F0684" w:rsidR="00D71B91" w:rsidRDefault="00D71B91" w:rsidP="00D71B91">
      <w:r w:rsidRPr="00550E7D">
        <w:t>SCE’s enrollment in B</w:t>
      </w:r>
      <w:r>
        <w:t>I</w:t>
      </w:r>
      <w:r w:rsidRPr="00550E7D">
        <w:t xml:space="preserve">P </w:t>
      </w:r>
      <w:r>
        <w:t xml:space="preserve">was 620 </w:t>
      </w:r>
      <w:r w:rsidRPr="00550E7D">
        <w:t xml:space="preserve">service accounts </w:t>
      </w:r>
      <w:r>
        <w:t>on the February 6, 2014 event day</w:t>
      </w:r>
      <w:r w:rsidRPr="00550E7D">
        <w:t xml:space="preserve">, which is a </w:t>
      </w:r>
      <w:r>
        <w:t xml:space="preserve">slight </w:t>
      </w:r>
      <w:r w:rsidRPr="00550E7D">
        <w:t xml:space="preserve">decrease relative to the </w:t>
      </w:r>
      <w:r>
        <w:t xml:space="preserve">646 </w:t>
      </w:r>
      <w:r w:rsidRPr="00550E7D">
        <w:t xml:space="preserve">enrolled service accounts </w:t>
      </w:r>
      <w:r>
        <w:t xml:space="preserve">during </w:t>
      </w:r>
      <w:r w:rsidRPr="00550E7D">
        <w:t>PY201</w:t>
      </w:r>
      <w:r>
        <w:t>3</w:t>
      </w:r>
      <w:r w:rsidRPr="00550E7D">
        <w:t>.</w:t>
      </w:r>
      <w:r>
        <w:t xml:space="preserve"> </w:t>
      </w:r>
      <w:r w:rsidRPr="00550E7D">
        <w:t xml:space="preserve">These accounted for a total of </w:t>
      </w:r>
      <w:r>
        <w:t xml:space="preserve">777 </w:t>
      </w:r>
      <w:r w:rsidRPr="00550E7D">
        <w:t xml:space="preserve">MW of maximum demand, or </w:t>
      </w:r>
      <w:r>
        <w:t>1.25</w:t>
      </w:r>
      <w:r w:rsidRPr="00550E7D">
        <w:t xml:space="preserve"> MW per service account. Manufacturers make up </w:t>
      </w:r>
      <w:r>
        <w:t>about two-thirds of the enrolled load. Figure ES.2 illustrates the distribution of SCE’s BIP load across the indicated industry types.</w:t>
      </w:r>
    </w:p>
    <w:p w14:paraId="5A90B359" w14:textId="77777777" w:rsidR="00DF1119" w:rsidRDefault="00DF1119" w:rsidP="00D71B91"/>
    <w:p w14:paraId="05B7DC06" w14:textId="592B9AC5" w:rsidR="00D71B91" w:rsidRDefault="00DF1119" w:rsidP="0044261B">
      <w:pPr>
        <w:keepNext/>
        <w:keepLines/>
        <w:jc w:val="center"/>
      </w:pPr>
      <w:bookmarkStart w:id="7" w:name="_Toc415489048"/>
      <w:r w:rsidRPr="0044261B">
        <w:rPr>
          <w:rStyle w:val="FigureCaptionChar"/>
        </w:rPr>
        <w:lastRenderedPageBreak/>
        <w:t>Figure ES.2 Distribution of BIP Enrolled Load by Industry Type, SCE</w:t>
      </w:r>
      <w:bookmarkEnd w:id="7"/>
      <w:r>
        <w:rPr>
          <w:noProof/>
        </w:rPr>
        <w:drawing>
          <wp:inline distT="0" distB="0" distL="0" distR="0" wp14:anchorId="423FA054" wp14:editId="275DEBCB">
            <wp:extent cx="5669280" cy="4123944"/>
            <wp:effectExtent l="0" t="0" r="762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69280" cy="4123944"/>
                    </a:xfrm>
                    <a:prstGeom prst="rect">
                      <a:avLst/>
                    </a:prstGeom>
                    <a:noFill/>
                  </pic:spPr>
                </pic:pic>
              </a:graphicData>
            </a:graphic>
          </wp:inline>
        </w:drawing>
      </w:r>
    </w:p>
    <w:p w14:paraId="04948873" w14:textId="77777777" w:rsidR="00B525DE" w:rsidRDefault="00660B9D" w:rsidP="00B525DE">
      <w:r>
        <w:t>SDG&amp;E</w:t>
      </w:r>
      <w:r w:rsidRPr="00550E7D">
        <w:t>’s enrollment in B</w:t>
      </w:r>
      <w:r>
        <w:t>I</w:t>
      </w:r>
      <w:r w:rsidRPr="00550E7D">
        <w:t xml:space="preserve">P </w:t>
      </w:r>
      <w:r>
        <w:t xml:space="preserve">was 7 </w:t>
      </w:r>
      <w:r w:rsidRPr="00550E7D">
        <w:t xml:space="preserve">service accounts </w:t>
      </w:r>
      <w:r>
        <w:t>on the May 16, 2014 event day</w:t>
      </w:r>
      <w:r w:rsidRPr="00550E7D">
        <w:t xml:space="preserve">, which is </w:t>
      </w:r>
      <w:r>
        <w:t xml:space="preserve">the same number of service accounts enrolled during </w:t>
      </w:r>
      <w:r w:rsidRPr="00550E7D">
        <w:t>PY201</w:t>
      </w:r>
      <w:r>
        <w:t>3</w:t>
      </w:r>
      <w:r w:rsidRPr="00550E7D">
        <w:t>.</w:t>
      </w:r>
      <w:r>
        <w:t xml:space="preserve"> </w:t>
      </w:r>
      <w:r w:rsidRPr="00550E7D">
        <w:t xml:space="preserve">These accounted for a total of </w:t>
      </w:r>
      <w:r>
        <w:t>4.2</w:t>
      </w:r>
      <w:r w:rsidRPr="00550E7D">
        <w:t xml:space="preserve"> MW of maximum demand, or </w:t>
      </w:r>
      <w:r>
        <w:t>0.60</w:t>
      </w:r>
      <w:r w:rsidRPr="00550E7D">
        <w:t xml:space="preserve"> MW per service account. </w:t>
      </w:r>
      <w:r>
        <w:t>Two agriculture, mining, and construction customers make up 73% of the enrolled load</w:t>
      </w:r>
      <w:r w:rsidRPr="00550E7D">
        <w:t>.</w:t>
      </w:r>
      <w:r w:rsidR="00B525DE">
        <w:t xml:space="preserve"> Figure ES.3 illustrates the distribution of SDG&amp;E’s BIP load across the indicated industry types.</w:t>
      </w:r>
    </w:p>
    <w:p w14:paraId="514350E2" w14:textId="77777777" w:rsidR="00B525DE" w:rsidRDefault="00B525DE" w:rsidP="00B525DE"/>
    <w:p w14:paraId="1E82D548" w14:textId="77777777" w:rsidR="00B525DE" w:rsidRDefault="00B525DE" w:rsidP="00B525DE">
      <w:pPr>
        <w:keepNext/>
        <w:keepLines/>
        <w:jc w:val="center"/>
      </w:pPr>
      <w:bookmarkStart w:id="8" w:name="_Toc415489049"/>
      <w:r w:rsidRPr="0044261B">
        <w:rPr>
          <w:rStyle w:val="FigureCaptionChar"/>
        </w:rPr>
        <w:lastRenderedPageBreak/>
        <w:t>Figure ES.</w:t>
      </w:r>
      <w:r>
        <w:rPr>
          <w:rStyle w:val="FigureCaptionChar"/>
        </w:rPr>
        <w:t>3</w:t>
      </w:r>
      <w:r w:rsidRPr="0044261B">
        <w:rPr>
          <w:rStyle w:val="FigureCaptionChar"/>
        </w:rPr>
        <w:t xml:space="preserve"> Distribution of BIP Enrolled Load by Industry Type, S</w:t>
      </w:r>
      <w:r>
        <w:rPr>
          <w:rStyle w:val="FigureCaptionChar"/>
        </w:rPr>
        <w:t>DG&amp;</w:t>
      </w:r>
      <w:r w:rsidRPr="0044261B">
        <w:rPr>
          <w:rStyle w:val="FigureCaptionChar"/>
        </w:rPr>
        <w:t>E</w:t>
      </w:r>
      <w:bookmarkEnd w:id="8"/>
    </w:p>
    <w:p w14:paraId="5A518A13" w14:textId="1C3CE335" w:rsidR="00660B9D" w:rsidRDefault="00B525DE" w:rsidP="00B525DE">
      <w:r>
        <w:rPr>
          <w:noProof/>
        </w:rPr>
        <w:drawing>
          <wp:inline distT="0" distB="0" distL="0" distR="0" wp14:anchorId="66E516A2" wp14:editId="7DA22F65">
            <wp:extent cx="5486400" cy="39814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4C9BA21" w14:textId="378F9A4B" w:rsidR="00F10E28" w:rsidRDefault="00F10E28" w:rsidP="00F10E28">
      <w:pPr>
        <w:pStyle w:val="Heading2"/>
      </w:pPr>
      <w:bookmarkStart w:id="9" w:name="_Toc415488936"/>
      <w:r>
        <w:t>ES.2 Evaluation Methodology</w:t>
      </w:r>
      <w:bookmarkEnd w:id="9"/>
    </w:p>
    <w:p w14:paraId="58DA9AFE" w14:textId="77777777" w:rsidR="00F10E28" w:rsidRDefault="00F10E28" w:rsidP="00F10E28">
      <w:pPr>
        <w:spacing w:after="240"/>
      </w:pPr>
      <w:r>
        <w:t>We estimated ex post load impacts using regression analysis of customer-level hourly load data. Individual-customer regression equations modeled hourly load as a function of several variables designed to control for factors affecting consumers’ hourly demand levels, including:</w:t>
      </w:r>
    </w:p>
    <w:p w14:paraId="5578EF71" w14:textId="77777777" w:rsidR="00F10E28" w:rsidRPr="001E060E" w:rsidRDefault="00F10E28" w:rsidP="00F10E28">
      <w:pPr>
        <w:numPr>
          <w:ilvl w:val="0"/>
          <w:numId w:val="1"/>
        </w:numPr>
      </w:pPr>
      <w:r>
        <w:t>Seasonal and hourly time patterns (</w:t>
      </w:r>
      <w:r>
        <w:rPr>
          <w:i/>
        </w:rPr>
        <w:t>e.g.</w:t>
      </w:r>
      <w:r>
        <w:t xml:space="preserve">, year, month, day-of-week, and hour, plus </w:t>
      </w:r>
      <w:r w:rsidRPr="001E060E">
        <w:t>various hour/day-type interactions)</w:t>
      </w:r>
      <w:r>
        <w:t>;</w:t>
      </w:r>
    </w:p>
    <w:p w14:paraId="1B86B4D8" w14:textId="77777777" w:rsidR="00F10E28" w:rsidRPr="001E060E" w:rsidRDefault="00F10E28" w:rsidP="00F10E28">
      <w:pPr>
        <w:numPr>
          <w:ilvl w:val="0"/>
          <w:numId w:val="1"/>
        </w:numPr>
      </w:pPr>
      <w:r w:rsidRPr="001E060E">
        <w:t>Weather (</w:t>
      </w:r>
      <w:r w:rsidRPr="001E060E">
        <w:rPr>
          <w:i/>
        </w:rPr>
        <w:t>e.g.</w:t>
      </w:r>
      <w:r w:rsidRPr="001E060E">
        <w:t xml:space="preserve">, cooling degree </w:t>
      </w:r>
      <w:r>
        <w:t>hours</w:t>
      </w:r>
      <w:r w:rsidRPr="001E060E">
        <w:t>, including hour-specific weather coefficients)</w:t>
      </w:r>
      <w:r>
        <w:t>;</w:t>
      </w:r>
    </w:p>
    <w:p w14:paraId="19D48070" w14:textId="77777777" w:rsidR="00F10E28" w:rsidRPr="001E060E" w:rsidRDefault="00F10E28" w:rsidP="00F10E28">
      <w:pPr>
        <w:numPr>
          <w:ilvl w:val="0"/>
          <w:numId w:val="1"/>
        </w:numPr>
      </w:pPr>
      <w:r w:rsidRPr="001E060E">
        <w:t xml:space="preserve">Event </w:t>
      </w:r>
      <w:r>
        <w:t xml:space="preserve">indicator (dummy) variables. A series of variables was included to account for each hour of each event day, allowing us to estimate the load impacts for each hour of each event day.  </w:t>
      </w:r>
    </w:p>
    <w:p w14:paraId="0850047C" w14:textId="77777777" w:rsidR="00F10E28" w:rsidRDefault="00F10E28" w:rsidP="00F10E28"/>
    <w:p w14:paraId="00C8BA94" w14:textId="3972BEEE" w:rsidR="00F10E28" w:rsidRDefault="00F10E28" w:rsidP="00F10E28">
      <w:r>
        <w:t>BIP load impacts for each event were obtained by summing the estimated hourly event coefficients from the customer-level regressions. The individual customer models allow the development of information on the distribution of load impacts across industry types and geographical regions, by aggregating customer load impacts for the relevant industry group or local capacity area.</w:t>
      </w:r>
    </w:p>
    <w:p w14:paraId="72CF2BBD" w14:textId="77777777" w:rsidR="00F10E28" w:rsidRDefault="00F10E28" w:rsidP="00F10E28">
      <w:pPr>
        <w:pStyle w:val="Heading2"/>
      </w:pPr>
      <w:bookmarkStart w:id="10" w:name="_Toc206570217"/>
      <w:bookmarkStart w:id="11" w:name="_Toc257708584"/>
      <w:bookmarkStart w:id="12" w:name="_Toc289180058"/>
      <w:bookmarkStart w:id="13" w:name="_Toc326224615"/>
      <w:bookmarkStart w:id="14" w:name="_Toc352235830"/>
      <w:bookmarkStart w:id="15" w:name="_Toc383597899"/>
      <w:bookmarkStart w:id="16" w:name="_Toc415488937"/>
      <w:r>
        <w:lastRenderedPageBreak/>
        <w:t xml:space="preserve">ES.3 </w:t>
      </w:r>
      <w:bookmarkEnd w:id="10"/>
      <w:r>
        <w:t>Ex Post Load Impacts</w:t>
      </w:r>
      <w:bookmarkEnd w:id="11"/>
      <w:bookmarkEnd w:id="12"/>
      <w:bookmarkEnd w:id="13"/>
      <w:bookmarkEnd w:id="14"/>
      <w:bookmarkEnd w:id="15"/>
      <w:bookmarkEnd w:id="16"/>
    </w:p>
    <w:p w14:paraId="10CDE9C6" w14:textId="5B5831AE" w:rsidR="00F10E28" w:rsidRDefault="00F10E28" w:rsidP="00F10E28">
      <w:r>
        <w:t>The total prog</w:t>
      </w:r>
      <w:r w:rsidR="00660B9D">
        <w:t>ram load impact for PG&amp;E’s September 11</w:t>
      </w:r>
      <w:r w:rsidR="00660B9D" w:rsidRPr="00972362">
        <w:rPr>
          <w:vertAlign w:val="superscript"/>
        </w:rPr>
        <w:t>th</w:t>
      </w:r>
      <w:r w:rsidR="00660B9D">
        <w:t xml:space="preserve"> test event averaged 228</w:t>
      </w:r>
      <w:r>
        <w:t xml:space="preserve"> MW</w:t>
      </w:r>
      <w:r w:rsidR="00660B9D">
        <w:t>, or 79</w:t>
      </w:r>
      <w:r>
        <w:t>.</w:t>
      </w:r>
      <w:r w:rsidR="00660B9D">
        <w:t>8</w:t>
      </w:r>
      <w:r>
        <w:t xml:space="preserve"> percent of enrolled load</w:t>
      </w:r>
      <w:r w:rsidR="00D66C97">
        <w:t>, representing 102% of the reduction required to meet the aggregate FSL</w:t>
      </w:r>
      <w:r>
        <w:t xml:space="preserve">. This is </w:t>
      </w:r>
      <w:r w:rsidR="008914EA">
        <w:t>quite close to the 216</w:t>
      </w:r>
      <w:r>
        <w:t xml:space="preserve"> MW average load impact from the previous program year. </w:t>
      </w:r>
      <w:r w:rsidR="008914EA">
        <w:t>The total load impact for the February 6</w:t>
      </w:r>
      <w:r w:rsidR="008914EA" w:rsidRPr="008914EA">
        <w:rPr>
          <w:vertAlign w:val="superscript"/>
        </w:rPr>
        <w:t>th</w:t>
      </w:r>
      <w:r w:rsidR="008914EA">
        <w:t xml:space="preserve"> test event was similar, averaging 200 MW</w:t>
      </w:r>
      <w:r w:rsidR="00D66C97">
        <w:t>,</w:t>
      </w:r>
      <w:r w:rsidR="008914EA">
        <w:t xml:space="preserve"> or 78.2 percent of the enrolled load</w:t>
      </w:r>
      <w:r w:rsidR="00D66C97">
        <w:t>, 103% of the reduction required to meet the aggregate FSL.</w:t>
      </w:r>
    </w:p>
    <w:p w14:paraId="468E0B00" w14:textId="77777777" w:rsidR="00F10E28" w:rsidRDefault="00F10E28" w:rsidP="00F10E28"/>
    <w:p w14:paraId="5248D012" w14:textId="68DD2732" w:rsidR="00F10E28" w:rsidRDefault="00F10E28" w:rsidP="00F10E28">
      <w:r w:rsidRPr="009D488A">
        <w:t xml:space="preserve">For SCE, </w:t>
      </w:r>
      <w:r w:rsidR="00D66C97">
        <w:t>the average hourly load impact</w:t>
      </w:r>
      <w:r w:rsidRPr="009D488A">
        <w:t xml:space="preserve"> </w:t>
      </w:r>
      <w:r w:rsidR="00D66C97">
        <w:t>for its February 6</w:t>
      </w:r>
      <w:r w:rsidR="00D66C97" w:rsidRPr="00D66C97">
        <w:rPr>
          <w:vertAlign w:val="superscript"/>
        </w:rPr>
        <w:t>th</w:t>
      </w:r>
      <w:r w:rsidR="00D66C97">
        <w:t xml:space="preserve"> event was</w:t>
      </w:r>
      <w:r w:rsidRPr="009D488A">
        <w:t xml:space="preserve"> </w:t>
      </w:r>
      <w:r w:rsidR="00D66C97">
        <w:t>624 MW, or 83</w:t>
      </w:r>
      <w:r w:rsidRPr="009D488A">
        <w:t xml:space="preserve"> percent of the total reference load. </w:t>
      </w:r>
      <w:r w:rsidR="00D66C97">
        <w:t>This was 93 percent of the reduction required to meet the aggregate FSL.</w:t>
      </w:r>
    </w:p>
    <w:p w14:paraId="4E6330E8" w14:textId="77777777" w:rsidR="00F10E28" w:rsidRDefault="00F10E28" w:rsidP="00F10E28"/>
    <w:p w14:paraId="4E582379" w14:textId="7A5AD787" w:rsidR="00F10E28" w:rsidRDefault="00F10E28" w:rsidP="00F10E28">
      <w:r>
        <w:t xml:space="preserve">SDG&amp;E’s </w:t>
      </w:r>
      <w:r w:rsidR="008C719C">
        <w:t>total load impact for its May 16</w:t>
      </w:r>
      <w:r w:rsidR="008C719C" w:rsidRPr="008C719C">
        <w:rPr>
          <w:vertAlign w:val="superscript"/>
        </w:rPr>
        <w:t>th</w:t>
      </w:r>
      <w:r w:rsidR="008C719C">
        <w:t xml:space="preserve"> test event averaged 2 MW, or </w:t>
      </w:r>
      <w:r w:rsidR="00B525DE">
        <w:t>50</w:t>
      </w:r>
      <w:r w:rsidR="008C719C">
        <w:t xml:space="preserve"> percent of enrolled load, representing </w:t>
      </w:r>
      <w:r w:rsidR="00B525DE">
        <w:t>8</w:t>
      </w:r>
      <w:r w:rsidR="008C719C">
        <w:t>1% of the reduction required to meet the aggregate FSL</w:t>
      </w:r>
      <w:r>
        <w:t>.</w:t>
      </w:r>
    </w:p>
    <w:p w14:paraId="28F41AA4" w14:textId="1DA9B4A5" w:rsidR="00156F79" w:rsidRDefault="00156F79" w:rsidP="00156F79">
      <w:pPr>
        <w:pStyle w:val="Heading2"/>
      </w:pPr>
      <w:bookmarkStart w:id="17" w:name="_Toc289180060"/>
      <w:bookmarkStart w:id="18" w:name="_Toc326224618"/>
      <w:bookmarkStart w:id="19" w:name="_Toc352235833"/>
      <w:bookmarkStart w:id="20" w:name="_Toc383597902"/>
      <w:bookmarkStart w:id="21" w:name="_Toc415488938"/>
      <w:r>
        <w:t>ES.4 Ex Ante Load Impacts</w:t>
      </w:r>
      <w:bookmarkEnd w:id="17"/>
      <w:bookmarkEnd w:id="18"/>
      <w:bookmarkEnd w:id="19"/>
      <w:bookmarkEnd w:id="20"/>
      <w:bookmarkEnd w:id="21"/>
    </w:p>
    <w:p w14:paraId="37AEBEC0" w14:textId="77777777" w:rsidR="00156F79" w:rsidRDefault="00156F79" w:rsidP="00156F79">
      <w:r>
        <w:t>Scenarios of ex ante load impacts are developed by combining enrollment forecasts with per-customer reference loads and load impacts, which were developed using the data and results of the ex post load impact evaluation.</w:t>
      </w:r>
    </w:p>
    <w:p w14:paraId="45D895EE" w14:textId="77777777" w:rsidR="00156F79" w:rsidRDefault="00156F79" w:rsidP="00156F79"/>
    <w:p w14:paraId="20FC9E8F" w14:textId="28F1CC56" w:rsidR="00156F79" w:rsidRDefault="00156F79" w:rsidP="00156F79">
      <w:r>
        <w:t>PG&amp;E forecasts BIP enrollments to remain constant from 2015 through 2025, with 203 enrolled service a</w:t>
      </w:r>
      <w:r w:rsidR="00383F6F">
        <w:t>greements</w:t>
      </w:r>
      <w:r>
        <w:t xml:space="preserve">. </w:t>
      </w:r>
      <w:r w:rsidRPr="006753ED">
        <w:t>SCE projects BIP enrollments to decrease during 2015 through 2017 by 15 customers each year</w:t>
      </w:r>
      <w:r>
        <w:t xml:space="preserve">. </w:t>
      </w:r>
      <w:r w:rsidR="000B26CD">
        <w:t>SDG&amp;E forecasts enrollments to remain at the historical level of 7 service accounts.</w:t>
      </w:r>
    </w:p>
    <w:p w14:paraId="165B9849" w14:textId="77777777" w:rsidR="00156F79" w:rsidRDefault="00156F79" w:rsidP="00156F79"/>
    <w:p w14:paraId="35A1FE0B" w14:textId="77777777" w:rsidR="000B26CD" w:rsidRDefault="000B26CD" w:rsidP="00156F79">
      <w:r>
        <w:t xml:space="preserve">SDG&amp;E’s ex ante load impact for a typical event day under utility-specific 1-in-2 weather conditions is 1.4 MW. </w:t>
      </w:r>
    </w:p>
    <w:p w14:paraId="49CB5967" w14:textId="77777777" w:rsidR="000B26CD" w:rsidRDefault="000B26CD" w:rsidP="00156F79"/>
    <w:p w14:paraId="52EDF52C" w14:textId="32116BC3" w:rsidR="00156F79" w:rsidRDefault="00156F79" w:rsidP="00156F79">
      <w:r>
        <w:t>Figures ES.</w:t>
      </w:r>
      <w:r w:rsidR="00B525DE">
        <w:t>4</w:t>
      </w:r>
      <w:r>
        <w:t xml:space="preserve"> and ES.</w:t>
      </w:r>
      <w:r w:rsidR="00B525DE">
        <w:t>5</w:t>
      </w:r>
      <w:r>
        <w:t xml:space="preserve"> show the ex ante load impacts for PG&amp;E and SCE, respectively. Both figures illustrate the lack of weather sensitivity at the aggregate level. </w:t>
      </w:r>
    </w:p>
    <w:p w14:paraId="0DE36BDC" w14:textId="77777777" w:rsidR="00156F79" w:rsidRDefault="00156F79" w:rsidP="00156F79"/>
    <w:p w14:paraId="2EF75C58" w14:textId="24F3F690" w:rsidR="00156F79" w:rsidRDefault="00156F79" w:rsidP="0044261B">
      <w:pPr>
        <w:keepNext/>
        <w:keepLines/>
        <w:jc w:val="center"/>
        <w:rPr>
          <w:i/>
        </w:rPr>
      </w:pPr>
      <w:bookmarkStart w:id="22" w:name="_Toc289180142"/>
      <w:bookmarkStart w:id="23" w:name="_Toc326224711"/>
      <w:bookmarkStart w:id="24" w:name="_Toc352235939"/>
      <w:bookmarkStart w:id="25" w:name="_Toc383598036"/>
      <w:bookmarkStart w:id="26" w:name="_Toc415489050"/>
      <w:r w:rsidRPr="0044261B">
        <w:rPr>
          <w:rStyle w:val="FigureCaptionChar"/>
        </w:rPr>
        <w:lastRenderedPageBreak/>
        <w:t>Figure ES.</w:t>
      </w:r>
      <w:r w:rsidR="00B525DE">
        <w:rPr>
          <w:rStyle w:val="FigureCaptionChar"/>
        </w:rPr>
        <w:t>4</w:t>
      </w:r>
      <w:r w:rsidRPr="0044261B">
        <w:rPr>
          <w:rStyle w:val="FigureCaptionChar"/>
        </w:rPr>
        <w:t xml:space="preserve">: Average August Ex Ante Load Impacts by Scenario, </w:t>
      </w:r>
      <w:bookmarkEnd w:id="22"/>
      <w:r w:rsidRPr="0044261B">
        <w:rPr>
          <w:rStyle w:val="FigureCaptionChar"/>
        </w:rPr>
        <w:t>PG&amp;E</w:t>
      </w:r>
      <w:bookmarkEnd w:id="23"/>
      <w:bookmarkEnd w:id="24"/>
      <w:bookmarkEnd w:id="25"/>
      <w:bookmarkEnd w:id="26"/>
      <w:r>
        <w:rPr>
          <w:noProof/>
        </w:rPr>
        <w:drawing>
          <wp:inline distT="0" distB="0" distL="0" distR="0" wp14:anchorId="49F50A86" wp14:editId="3B6726DD">
            <wp:extent cx="5486400" cy="3981450"/>
            <wp:effectExtent l="0" t="0" r="0" b="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C0317C2" w14:textId="77777777" w:rsidR="0044261B" w:rsidRDefault="0044261B" w:rsidP="0044261B">
      <w:bookmarkStart w:id="27" w:name="_Toc383598037"/>
    </w:p>
    <w:p w14:paraId="0618786A" w14:textId="39E54A71" w:rsidR="00156F79" w:rsidRPr="0097115E" w:rsidRDefault="00156F79" w:rsidP="0044261B">
      <w:pPr>
        <w:pStyle w:val="FigureCaption"/>
        <w:keepNext/>
        <w:keepLines/>
      </w:pPr>
      <w:bookmarkStart w:id="28" w:name="_Toc415489051"/>
      <w:r w:rsidRPr="00DD49B6">
        <w:lastRenderedPageBreak/>
        <w:t>Figure ES.</w:t>
      </w:r>
      <w:r w:rsidR="00B525DE">
        <w:t>5</w:t>
      </w:r>
      <w:r w:rsidRPr="00DD49B6">
        <w:t xml:space="preserve">: Average </w:t>
      </w:r>
      <w:r>
        <w:t xml:space="preserve">August </w:t>
      </w:r>
      <w:r w:rsidRPr="00DD49B6">
        <w:t xml:space="preserve">Ex Ante Load Impacts by Year and Scenario, </w:t>
      </w:r>
      <w:r w:rsidRPr="00DD49B6">
        <w:rPr>
          <w:i/>
        </w:rPr>
        <w:t>SCE</w:t>
      </w:r>
      <w:bookmarkEnd w:id="27"/>
      <w:bookmarkEnd w:id="28"/>
    </w:p>
    <w:p w14:paraId="1BCC9018" w14:textId="6BF175B9" w:rsidR="00156F79" w:rsidRDefault="00156F79" w:rsidP="0044261B">
      <w:pPr>
        <w:keepNext/>
        <w:keepLines/>
      </w:pPr>
      <w:r>
        <w:rPr>
          <w:noProof/>
        </w:rPr>
        <w:drawing>
          <wp:inline distT="0" distB="0" distL="0" distR="0" wp14:anchorId="293E3671" wp14:editId="568E4758">
            <wp:extent cx="5486400" cy="3985260"/>
            <wp:effectExtent l="0" t="0" r="0" b="1524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B89DC23" w14:textId="77777777" w:rsidR="00F10E28" w:rsidRDefault="00F10E28" w:rsidP="00F10E28"/>
    <w:p w14:paraId="43A1F70E" w14:textId="77777777" w:rsidR="00F10E28" w:rsidRPr="00F10E28" w:rsidRDefault="00F10E28" w:rsidP="00F10E28"/>
    <w:p w14:paraId="78DD511A" w14:textId="77777777" w:rsidR="00DF1119" w:rsidRDefault="00DF1119" w:rsidP="00DF1119">
      <w:pPr>
        <w:pStyle w:val="FigureCaption"/>
        <w:jc w:val="left"/>
      </w:pPr>
    </w:p>
    <w:p w14:paraId="3BCE12E9" w14:textId="77777777" w:rsidR="00DF1119" w:rsidRPr="00DF4C3A" w:rsidRDefault="00DF1119" w:rsidP="00DF4C3A"/>
    <w:p w14:paraId="325856BD" w14:textId="77777777" w:rsidR="00D71B91" w:rsidRDefault="00D71B91" w:rsidP="00E32B24"/>
    <w:p w14:paraId="2041C2E0" w14:textId="3D41BE9B" w:rsidR="00321E09" w:rsidRDefault="00321E09" w:rsidP="00E32B24">
      <w:r>
        <w:br w:type="page"/>
      </w:r>
      <w:bookmarkStart w:id="29" w:name="_Toc415488939"/>
      <w:r w:rsidRPr="00421E09">
        <w:rPr>
          <w:rStyle w:val="Heading1Char"/>
          <w:sz w:val="24"/>
          <w:szCs w:val="24"/>
        </w:rPr>
        <w:lastRenderedPageBreak/>
        <w:t>1. Introduction and Purpose of the Study</w:t>
      </w:r>
      <w:bookmarkEnd w:id="29"/>
    </w:p>
    <w:p w14:paraId="15DDBFD4" w14:textId="4EDEDA89" w:rsidR="00321E09" w:rsidRDefault="00321E09" w:rsidP="00053AAD">
      <w:r>
        <w:t xml:space="preserve">This report documents ex post </w:t>
      </w:r>
      <w:r w:rsidR="00186A8C">
        <w:t xml:space="preserve">and ex ante </w:t>
      </w:r>
      <w:r>
        <w:t xml:space="preserve">load impact evaluations for the statewide </w:t>
      </w:r>
      <w:r w:rsidR="00305DDF">
        <w:t xml:space="preserve">Base Interruptible </w:t>
      </w:r>
      <w:r w:rsidR="00EE335D">
        <w:t>Program (“BIP</w:t>
      </w:r>
      <w:r>
        <w:t>”) in place at Pacific Gas and Electric Company (“PG&amp;E”)</w:t>
      </w:r>
      <w:r w:rsidR="000B3C39">
        <w:t xml:space="preserve">, </w:t>
      </w:r>
      <w:r>
        <w:t>Southern California Edison (“SCE”)</w:t>
      </w:r>
      <w:r w:rsidR="000B3C39">
        <w:t>, and San Diego Gas and Electric Company (“SDG&amp;E”)</w:t>
      </w:r>
      <w:r>
        <w:t xml:space="preserve"> in 201</w:t>
      </w:r>
      <w:r w:rsidR="007B05B9">
        <w:t>4</w:t>
      </w:r>
      <w:r>
        <w:t>. The report provides estimates of ex post load impacts that occurred during events called in 201</w:t>
      </w:r>
      <w:r w:rsidR="007B05B9">
        <w:t>4</w:t>
      </w:r>
      <w:r w:rsidR="00C4613B">
        <w:t xml:space="preserve"> and </w:t>
      </w:r>
      <w:r>
        <w:t>an ex ante forecast of load impacts for 201</w:t>
      </w:r>
      <w:r w:rsidR="007B05B9">
        <w:t>5</w:t>
      </w:r>
      <w:r>
        <w:t xml:space="preserve"> through 202</w:t>
      </w:r>
      <w:r w:rsidR="007B05B9">
        <w:t>5</w:t>
      </w:r>
      <w:r>
        <w:t xml:space="preserve"> that is based on </w:t>
      </w:r>
      <w:r w:rsidR="00BE7AE9">
        <w:t xml:space="preserve">the IOU’s </w:t>
      </w:r>
      <w:r>
        <w:t xml:space="preserve">enrollment forecasts and the ex post load impacts estimated for </w:t>
      </w:r>
      <w:r w:rsidR="00305DDF">
        <w:t xml:space="preserve">the 2014 </w:t>
      </w:r>
      <w:r w:rsidR="00467BD7">
        <w:t>program year</w:t>
      </w:r>
      <w:r>
        <w:t>.</w:t>
      </w:r>
      <w:r w:rsidR="00186A8C">
        <w:t xml:space="preserve"> </w:t>
      </w:r>
    </w:p>
    <w:p w14:paraId="7714E12F" w14:textId="77777777" w:rsidR="005A13A1" w:rsidRDefault="005A13A1" w:rsidP="00053AAD"/>
    <w:p w14:paraId="4097844A" w14:textId="77777777" w:rsidR="00321E09" w:rsidRDefault="00321E09" w:rsidP="003601DE">
      <w:pPr>
        <w:spacing w:after="240"/>
      </w:pPr>
      <w:r>
        <w:t>The primary research questions addressed by this evaluation are:</w:t>
      </w:r>
    </w:p>
    <w:p w14:paraId="0FBAD644" w14:textId="731535E5" w:rsidR="00321E09" w:rsidRDefault="00321E09" w:rsidP="00A11E7E">
      <w:pPr>
        <w:numPr>
          <w:ilvl w:val="0"/>
          <w:numId w:val="16"/>
        </w:numPr>
      </w:pPr>
      <w:r>
        <w:t>What were the B</w:t>
      </w:r>
      <w:r w:rsidR="00305DDF">
        <w:t>I</w:t>
      </w:r>
      <w:r>
        <w:t>P load impacts in 201</w:t>
      </w:r>
      <w:r w:rsidR="007B05B9">
        <w:t>4</w:t>
      </w:r>
      <w:r>
        <w:t>?</w:t>
      </w:r>
    </w:p>
    <w:p w14:paraId="0DBA97D8" w14:textId="77777777" w:rsidR="00321E09" w:rsidRDefault="00321E09" w:rsidP="00A11E7E">
      <w:pPr>
        <w:numPr>
          <w:ilvl w:val="0"/>
          <w:numId w:val="16"/>
        </w:numPr>
      </w:pPr>
      <w:r>
        <w:t>How were the load impacts distributed across industry groups?</w:t>
      </w:r>
    </w:p>
    <w:p w14:paraId="4A5FE23B" w14:textId="77777777" w:rsidR="00321E09" w:rsidRDefault="00321E09" w:rsidP="00A11E7E">
      <w:pPr>
        <w:numPr>
          <w:ilvl w:val="0"/>
          <w:numId w:val="16"/>
        </w:numPr>
      </w:pPr>
      <w:r>
        <w:t>How were the load impacts distributed across CAISO local capacity areas?</w:t>
      </w:r>
    </w:p>
    <w:p w14:paraId="06FF1F56" w14:textId="0CBB97CE" w:rsidR="00C4613B" w:rsidRDefault="00C4613B" w:rsidP="00A11E7E">
      <w:pPr>
        <w:numPr>
          <w:ilvl w:val="0"/>
          <w:numId w:val="16"/>
        </w:numPr>
      </w:pPr>
      <w:r>
        <w:t>What are the ex ante load impacts for 201</w:t>
      </w:r>
      <w:r w:rsidR="007B05B9">
        <w:t>5</w:t>
      </w:r>
      <w:r>
        <w:t xml:space="preserve"> through 202</w:t>
      </w:r>
      <w:r w:rsidR="007B05B9">
        <w:t>5</w:t>
      </w:r>
      <w:r>
        <w:t>?</w:t>
      </w:r>
    </w:p>
    <w:p w14:paraId="0461D095" w14:textId="77777777" w:rsidR="00321E09" w:rsidRDefault="00321E09" w:rsidP="00681C96"/>
    <w:p w14:paraId="378B894B" w14:textId="0E651219" w:rsidR="00321E09" w:rsidRDefault="00321E09" w:rsidP="00681C96">
      <w:r w:rsidRPr="00DD49B6">
        <w:t xml:space="preserve">The report is organized as follows. Section 2 contains a description of the programs, the enrolled customers, and the events called; Section 3 describes the methods used in the study; Section 4 contains the detailed ex post load impact results; </w:t>
      </w:r>
      <w:r w:rsidR="00047B5B" w:rsidRPr="00DD49B6">
        <w:t xml:space="preserve">Section </w:t>
      </w:r>
      <w:r w:rsidR="007B05B9">
        <w:t>5</w:t>
      </w:r>
      <w:r w:rsidR="00047B5B" w:rsidRPr="00DD49B6">
        <w:t xml:space="preserve"> describes the ex ante load impact forecast</w:t>
      </w:r>
      <w:r w:rsidR="00197099" w:rsidRPr="00DD49B6">
        <w:t>;</w:t>
      </w:r>
      <w:r w:rsidR="00047B5B" w:rsidRPr="00DD49B6">
        <w:t xml:space="preserve"> </w:t>
      </w:r>
      <w:r w:rsidR="00DD49B6" w:rsidRPr="00DD49B6">
        <w:t xml:space="preserve">Section </w:t>
      </w:r>
      <w:r w:rsidR="007B05B9">
        <w:t>6</w:t>
      </w:r>
      <w:r w:rsidR="00DD49B6" w:rsidRPr="00DD49B6">
        <w:t xml:space="preserve"> contains descriptions of differences in various scenarios of ex post and ex ante load impacts;</w:t>
      </w:r>
      <w:r w:rsidRPr="00DD49B6">
        <w:t xml:space="preserve"> </w:t>
      </w:r>
      <w:r w:rsidR="00002762">
        <w:t xml:space="preserve">and </w:t>
      </w:r>
      <w:r w:rsidRPr="00DD49B6">
        <w:t xml:space="preserve">Section </w:t>
      </w:r>
      <w:r w:rsidR="007B05B9">
        <w:t>7</w:t>
      </w:r>
      <w:r w:rsidRPr="00DD49B6">
        <w:t xml:space="preserve"> provides recommendations.</w:t>
      </w:r>
      <w:r w:rsidRPr="009068D9">
        <w:t xml:space="preserve"> </w:t>
      </w:r>
      <w:r w:rsidR="00002762">
        <w:t xml:space="preserve">Appendix A </w:t>
      </w:r>
      <w:r w:rsidR="00002762" w:rsidRPr="00DD49B6">
        <w:t>contains an assessment of the validity of the study</w:t>
      </w:r>
      <w:r w:rsidR="00002762">
        <w:t>.</w:t>
      </w:r>
      <w:r w:rsidRPr="009068D9">
        <w:t xml:space="preserve"> </w:t>
      </w:r>
    </w:p>
    <w:p w14:paraId="7F1EDFAE" w14:textId="77777777" w:rsidR="00321E09" w:rsidRDefault="00321E09" w:rsidP="00751406">
      <w:pPr>
        <w:pStyle w:val="Heading1"/>
      </w:pPr>
      <w:bookmarkStart w:id="30" w:name="_Toc415488940"/>
      <w:r>
        <w:t>2. Description of Resources Covered in the Study</w:t>
      </w:r>
      <w:bookmarkEnd w:id="30"/>
    </w:p>
    <w:p w14:paraId="1461B3BA" w14:textId="02C0FA17" w:rsidR="007B05B9" w:rsidRDefault="00321E09" w:rsidP="008943AD">
      <w:r>
        <w:t xml:space="preserve">This section provides details on the </w:t>
      </w:r>
      <w:r w:rsidR="00305DDF">
        <w:t xml:space="preserve">Base Interruptible </w:t>
      </w:r>
      <w:r>
        <w:t>Programs, including the characteristics of the participants enrolled in the programs and the events called in 201</w:t>
      </w:r>
      <w:r w:rsidR="007B05B9">
        <w:t>4</w:t>
      </w:r>
      <w:r>
        <w:t>.</w:t>
      </w:r>
    </w:p>
    <w:p w14:paraId="3D29730D" w14:textId="77777777" w:rsidR="00321E09" w:rsidRPr="00146E50" w:rsidRDefault="00321E09" w:rsidP="00751406">
      <w:pPr>
        <w:pStyle w:val="Heading2"/>
      </w:pPr>
      <w:bookmarkStart w:id="31" w:name="_Toc415488941"/>
      <w:r>
        <w:t>2</w:t>
      </w:r>
      <w:r w:rsidRPr="00146E50">
        <w:t>.1 Program Description</w:t>
      </w:r>
      <w:r>
        <w:t>s</w:t>
      </w:r>
      <w:bookmarkEnd w:id="31"/>
    </w:p>
    <w:p w14:paraId="0A950DC5" w14:textId="1029583F" w:rsidR="00305DDF" w:rsidRDefault="00305DDF" w:rsidP="00B43905">
      <w:r w:rsidRPr="00305DDF">
        <w:t>Base Interruptible Program</w:t>
      </w:r>
      <w:r>
        <w:t>s</w:t>
      </w:r>
      <w:r w:rsidRPr="00305DDF">
        <w:t xml:space="preserve"> are statewide voluntary programs that offer customers a monthly capacity bill credit in exchange for the commitment to reduce their energy consumption to an amount that meets the customer’s minimum operational requirements, also known as a Firm Service Level (</w:t>
      </w:r>
      <w:r w:rsidR="00AD1A7C">
        <w:t>“</w:t>
      </w:r>
      <w:r w:rsidRPr="00305DDF">
        <w:t>FSL</w:t>
      </w:r>
      <w:r w:rsidR="00AD1A7C">
        <w:t>”</w:t>
      </w:r>
      <w:r w:rsidRPr="00305DDF">
        <w:t>).</w:t>
      </w:r>
    </w:p>
    <w:p w14:paraId="5BB78D97" w14:textId="77777777" w:rsidR="00305DDF" w:rsidRDefault="00305DDF" w:rsidP="00B43905"/>
    <w:p w14:paraId="6CE63D8D" w14:textId="01503493" w:rsidR="00305DDF" w:rsidRDefault="00305DDF" w:rsidP="00B43905">
      <w:r w:rsidRPr="00305DDF">
        <w:t>There are a number of similarities and differences in the BIPs offered by the California investor-owned utilities (</w:t>
      </w:r>
      <w:r w:rsidR="00AD1A7C">
        <w:t>“</w:t>
      </w:r>
      <w:r w:rsidRPr="00305DDF">
        <w:t>IOUs</w:t>
      </w:r>
      <w:r w:rsidR="00AD1A7C">
        <w:t>”</w:t>
      </w:r>
      <w:r w:rsidRPr="00305DDF">
        <w:t>)</w:t>
      </w:r>
      <w:r>
        <w:t xml:space="preserve">. </w:t>
      </w:r>
      <w:r w:rsidRPr="00305DDF">
        <w:t xml:space="preserve">The programs consist of an interruptible tariff available to both customers and aggregators with a minimum demand. Descriptions of </w:t>
      </w:r>
      <w:r>
        <w:t xml:space="preserve">each utility’s </w:t>
      </w:r>
      <w:r w:rsidRPr="00305DDF">
        <w:t>BIP</w:t>
      </w:r>
      <w:r>
        <w:t xml:space="preserve"> are provided below.</w:t>
      </w:r>
    </w:p>
    <w:p w14:paraId="293EFC6B" w14:textId="7D80C2CE" w:rsidR="00321E09" w:rsidRPr="004F7CDA" w:rsidRDefault="00305DDF" w:rsidP="00B43905">
      <w:pPr>
        <w:pStyle w:val="Heading3"/>
      </w:pPr>
      <w:bookmarkStart w:id="32" w:name="_Toc248733671"/>
      <w:bookmarkStart w:id="33" w:name="_Toc415488942"/>
      <w:r>
        <w:t>SCE</w:t>
      </w:r>
      <w:r w:rsidR="00321E09" w:rsidRPr="004F7CDA">
        <w:t xml:space="preserve">’s </w:t>
      </w:r>
      <w:r>
        <w:t xml:space="preserve">Base Interruptible </w:t>
      </w:r>
      <w:r w:rsidR="00321E09" w:rsidRPr="004F7CDA">
        <w:t>Program</w:t>
      </w:r>
      <w:bookmarkEnd w:id="32"/>
      <w:bookmarkEnd w:id="33"/>
    </w:p>
    <w:p w14:paraId="145B33FE" w14:textId="77777777" w:rsidR="00305DDF" w:rsidRDefault="00305DDF" w:rsidP="00305DDF">
      <w:bookmarkStart w:id="34" w:name="_Toc248733672"/>
      <w:r>
        <w:t>SCE’s BIP is designed for customers and aggregators with demands of 200 kW and above. The program includes two participation options:</w:t>
      </w:r>
    </w:p>
    <w:p w14:paraId="743304FD" w14:textId="621ECA85" w:rsidR="00305DDF" w:rsidRDefault="00305DDF" w:rsidP="00AD1A7C">
      <w:pPr>
        <w:pStyle w:val="ListParagraph"/>
        <w:numPr>
          <w:ilvl w:val="0"/>
          <w:numId w:val="15"/>
        </w:numPr>
      </w:pPr>
      <w:r>
        <w:lastRenderedPageBreak/>
        <w:t>Option A, which requires a customer or Aggregated Group to reduce its demand to its FSL with</w:t>
      </w:r>
      <w:r w:rsidR="00EE335D">
        <w:t>in</w:t>
      </w:r>
      <w:r>
        <w:t xml:space="preserve"> 15</w:t>
      </w:r>
      <w:r w:rsidR="00EE335D">
        <w:t xml:space="preserve"> </w:t>
      </w:r>
      <w:r>
        <w:t xml:space="preserve">minutes of a Notice of Interruption; and </w:t>
      </w:r>
    </w:p>
    <w:p w14:paraId="3622BFD1" w14:textId="414FFBB3" w:rsidR="00305DDF" w:rsidRDefault="00305DDF" w:rsidP="00AD1A7C">
      <w:pPr>
        <w:pStyle w:val="ListParagraph"/>
        <w:numPr>
          <w:ilvl w:val="0"/>
          <w:numId w:val="15"/>
        </w:numPr>
      </w:pPr>
      <w:r>
        <w:t xml:space="preserve">Option B, which requires a customer or Aggregated Group to reduce its demand to its FSL within 30 minutes of a Notice of Interruption. </w:t>
      </w:r>
    </w:p>
    <w:p w14:paraId="3477D32D" w14:textId="77777777" w:rsidR="00305DDF" w:rsidRDefault="00305DDF" w:rsidP="00305DDF">
      <w:pPr>
        <w:pStyle w:val="ListParagraph"/>
      </w:pPr>
    </w:p>
    <w:p w14:paraId="650843CB" w14:textId="524C49D9" w:rsidR="00305DDF" w:rsidRDefault="00305DDF" w:rsidP="00305DDF">
      <w:r>
        <w:t>Excess energy charges are applied when a customer is unable to reduce its demand to its FSL during events. Interruption events for an individual BIP customer or aggregated group are limited to no more</w:t>
      </w:r>
      <w:r w:rsidR="00EE335D">
        <w:t xml:space="preserve"> than</w:t>
      </w:r>
      <w:r>
        <w:t xml:space="preserve"> one event per day (lasting no more than 6 hours), ten in any calendar month, and a total of 180 hours per calendar year. </w:t>
      </w:r>
    </w:p>
    <w:p w14:paraId="54F7FF85" w14:textId="77777777" w:rsidR="00305DDF" w:rsidRDefault="00305DDF" w:rsidP="00305DDF"/>
    <w:p w14:paraId="6E258852" w14:textId="0FD51C31" w:rsidR="00305DDF" w:rsidRDefault="00305DDF" w:rsidP="00305DDF">
      <w:r>
        <w:t>An interruption event may be called by the California Independent System Operator (“CAISO”) or SCE at any time during the year.</w:t>
      </w:r>
    </w:p>
    <w:p w14:paraId="79485BFD" w14:textId="7B2FFC74" w:rsidR="00321E09" w:rsidRPr="004F7CDA" w:rsidRDefault="00816EE1" w:rsidP="00B43905">
      <w:pPr>
        <w:pStyle w:val="Heading3"/>
      </w:pPr>
      <w:bookmarkStart w:id="35" w:name="_Toc248733670"/>
      <w:bookmarkStart w:id="36" w:name="_Toc415488943"/>
      <w:r>
        <w:t>PG&amp;E</w:t>
      </w:r>
      <w:r w:rsidR="00321E09" w:rsidRPr="004F7CDA">
        <w:t xml:space="preserve">’s </w:t>
      </w:r>
      <w:bookmarkEnd w:id="35"/>
      <w:r>
        <w:t>Base Interruptible P</w:t>
      </w:r>
      <w:r w:rsidR="002870B7" w:rsidRPr="004F7CDA">
        <w:t>rogram</w:t>
      </w:r>
      <w:bookmarkEnd w:id="36"/>
    </w:p>
    <w:p w14:paraId="25BD8152" w14:textId="2123DADE" w:rsidR="00AD1A7C" w:rsidRDefault="00AD1A7C" w:rsidP="00AD1A7C">
      <w:r>
        <w:t>PG&amp;E’s BIP</w:t>
      </w:r>
      <w:r w:rsidR="001C090F">
        <w:t xml:space="preserve">, a tariff-based program, </w:t>
      </w:r>
      <w:r>
        <w:t xml:space="preserve">is designed to provide load reductions on PG&amp;E’s system on a day-of basis when the CAISO issues a curtailment notice or in the event of a transmission </w:t>
      </w:r>
      <w:r w:rsidR="001C090F">
        <w:t xml:space="preserve">or distribution system </w:t>
      </w:r>
      <w:r>
        <w:t xml:space="preserve">contingency. </w:t>
      </w:r>
      <w:r w:rsidR="00A11E7E" w:rsidRPr="00A11E7E">
        <w:t>Customers must be notified at least 30 minutes prior to the event</w:t>
      </w:r>
      <w:r w:rsidR="00A11E7E">
        <w:t xml:space="preserve">. </w:t>
      </w:r>
      <w:r>
        <w:t xml:space="preserve">BIP events can be operated year-round, with a maximum of one event per day and four hours per event. The program cannot exceed ten events during a calendar month or 180 hours per calendar year. </w:t>
      </w:r>
    </w:p>
    <w:p w14:paraId="7546CBC4" w14:textId="77777777" w:rsidR="00AD1A7C" w:rsidRDefault="00AD1A7C" w:rsidP="00AD1A7C"/>
    <w:p w14:paraId="779F429B" w14:textId="356BA5AB" w:rsidR="00AD1A7C" w:rsidRDefault="00AD1A7C" w:rsidP="00AD1A7C">
      <w:r>
        <w:t xml:space="preserve">Participants who do not comply with the curtailment order are </w:t>
      </w:r>
      <w:r w:rsidR="001C090F">
        <w:t xml:space="preserve">subject to a substantial excess </w:t>
      </w:r>
      <w:r>
        <w:t xml:space="preserve">energy charge on any power used </w:t>
      </w:r>
      <w:r w:rsidR="001C090F">
        <w:t xml:space="preserve">above </w:t>
      </w:r>
      <w:r>
        <w:t>their contracted amount, or FSL. This potential energy charge has resulted in a high compliance rate. Effective January 2013, PG&amp;E may require a customer that fails to reduce its load down to or below its FSL to re-test, modify its FSL, de-enroll from the program, or successfully comply with the re-test.</w:t>
      </w:r>
    </w:p>
    <w:p w14:paraId="6298E5F2" w14:textId="77777777" w:rsidR="00AD1A7C" w:rsidRDefault="00AD1A7C" w:rsidP="00AD1A7C"/>
    <w:p w14:paraId="40C64459" w14:textId="5BE29F78" w:rsidR="00AD1A7C" w:rsidRDefault="00AD1A7C" w:rsidP="00AD1A7C">
      <w:r>
        <w:t>Directly-enrolled customers may participate in PG&amp;E’s Underfrequency Relay (UFR) Program. The UFR Program is not available to customers enrolled through aggregators. Under the UFR Program, customers agree to be subject at all times to automatic interruptions of service caused by an underfrequency relay device that may be installed by PG&amp;E. PG&amp;E may require up to 3-years’ written notice for termination of participation in the UFR Program. Customers participating in the UFR program will receive a demand credit on a monthly basis based on their average monthly on-peak period demand in the summer and their average monthly partial-peak demand in the winter.</w:t>
      </w:r>
    </w:p>
    <w:p w14:paraId="11C9C7A2" w14:textId="4F7457BB" w:rsidR="00321E09" w:rsidRPr="004F7CDA" w:rsidRDefault="00321E09" w:rsidP="00B43905">
      <w:pPr>
        <w:pStyle w:val="Heading3"/>
      </w:pPr>
      <w:bookmarkStart w:id="37" w:name="_Toc415488944"/>
      <w:r w:rsidRPr="004F7CDA">
        <w:t xml:space="preserve">SDG&amp;E’s </w:t>
      </w:r>
      <w:bookmarkEnd w:id="34"/>
      <w:r w:rsidR="00AD1A7C">
        <w:t>Base Interruptible</w:t>
      </w:r>
      <w:r w:rsidR="002870B7" w:rsidRPr="004F7CDA">
        <w:t xml:space="preserve"> Program</w:t>
      </w:r>
      <w:bookmarkEnd w:id="37"/>
    </w:p>
    <w:p w14:paraId="5621F485" w14:textId="5AEF3C57" w:rsidR="00AD1A7C" w:rsidRDefault="00AD1A7C" w:rsidP="00AD1A7C">
      <w:r>
        <w:t>SDG&amp;E’s BIP is a voluntary program that offers participants a monthly capacity bill credit in exchange for committing to reduce their demand to a contracted FSL on short notice during emergency situations. Customers must be notified at least 30 minutes prior to the event and monthly incentive payments are $12.00 per kW for the months of May through October and $</w:t>
      </w:r>
      <w:r w:rsidR="00B525DE">
        <w:t>2</w:t>
      </w:r>
      <w:r>
        <w:t>.00 per kW</w:t>
      </w:r>
      <w:r w:rsidR="00B525DE">
        <w:t xml:space="preserve"> in</w:t>
      </w:r>
      <w:r>
        <w:t xml:space="preserve"> all other months. Previously S</w:t>
      </w:r>
      <w:r w:rsidR="00AF1B75">
        <w:t xml:space="preserve">DG&amp;E offered a BIP </w:t>
      </w:r>
      <w:r w:rsidR="00AF1B75">
        <w:lastRenderedPageBreak/>
        <w:t>option B which</w:t>
      </w:r>
      <w:r>
        <w:t xml:space="preserve"> required that participating customer be notified at least 3 hours before the event but SDG&amp;E discontinued this option in 2012. </w:t>
      </w:r>
    </w:p>
    <w:p w14:paraId="2DEBA0E0" w14:textId="77777777" w:rsidR="00AD1A7C" w:rsidRDefault="00AD1A7C" w:rsidP="00AD1A7C"/>
    <w:p w14:paraId="3D568F01" w14:textId="3624A6B0" w:rsidR="00AD1A7C" w:rsidRDefault="00AD1A7C" w:rsidP="00AD1A7C">
      <w:r>
        <w:t xml:space="preserve">Participation in SDG&amp;E’s program has been low, consistent with the California Public Utilities Commission (“Commission” or “CPUC”) direction to focus marketing efforts on price responsive programs. There were no participants in 2006, three participants in 2007, five participants in 2008, 20 in 2009, 19 customers in </w:t>
      </w:r>
      <w:r w:rsidR="00AF1B75">
        <w:t xml:space="preserve">2010, 21 customers in 2011, </w:t>
      </w:r>
      <w:r>
        <w:t>11 in 2012</w:t>
      </w:r>
      <w:r w:rsidR="00AF1B75">
        <w:t>, and seven participants in 2013</w:t>
      </w:r>
      <w:r>
        <w:t xml:space="preserve">. </w:t>
      </w:r>
    </w:p>
    <w:p w14:paraId="070D9B0E" w14:textId="77777777" w:rsidR="00321E09" w:rsidRDefault="00321E09" w:rsidP="00751406">
      <w:pPr>
        <w:pStyle w:val="Heading2"/>
      </w:pPr>
      <w:bookmarkStart w:id="38" w:name="_Toc415488945"/>
      <w:r w:rsidRPr="008F1160">
        <w:t>2.2 Participant Characteristics</w:t>
      </w:r>
      <w:bookmarkEnd w:id="38"/>
    </w:p>
    <w:p w14:paraId="300223A8" w14:textId="77777777" w:rsidR="00321E09" w:rsidRPr="00146E50" w:rsidRDefault="00321E09" w:rsidP="00751406">
      <w:pPr>
        <w:pStyle w:val="Heading3"/>
        <w:rPr>
          <w:sz w:val="22"/>
          <w:szCs w:val="22"/>
        </w:rPr>
      </w:pPr>
      <w:bookmarkStart w:id="39" w:name="_Toc415488946"/>
      <w:r>
        <w:rPr>
          <w:sz w:val="22"/>
          <w:szCs w:val="22"/>
        </w:rPr>
        <w:t>2</w:t>
      </w:r>
      <w:r w:rsidRPr="00146E50">
        <w:rPr>
          <w:sz w:val="22"/>
          <w:szCs w:val="22"/>
        </w:rPr>
        <w:t>.2.1 Development of Customer Groups</w:t>
      </w:r>
      <w:bookmarkEnd w:id="39"/>
    </w:p>
    <w:p w14:paraId="5D1EA704" w14:textId="77777777" w:rsidR="00321E09" w:rsidRDefault="00321E09" w:rsidP="00751406">
      <w:bookmarkStart w:id="40" w:name="OLE_LINK29"/>
      <w:r>
        <w:t xml:space="preserve">In order to assess differences in load impacts across customer types, the program participants were categorized according to eight industry types. The industry groups are defined according to their applicable two-digit </w:t>
      </w:r>
      <w:r w:rsidR="00BB1058">
        <w:t>North American Industry Classification System (</w:t>
      </w:r>
      <w:r>
        <w:t>NAICS</w:t>
      </w:r>
      <w:r w:rsidR="00BB1058">
        <w:t>)</w:t>
      </w:r>
      <w:r>
        <w:t xml:space="preserve"> codes:</w:t>
      </w:r>
    </w:p>
    <w:p w14:paraId="7BFA2D20" w14:textId="77777777" w:rsidR="00321E09" w:rsidRDefault="00321E09" w:rsidP="00751406"/>
    <w:p w14:paraId="47A21B50" w14:textId="77777777" w:rsidR="00321E09" w:rsidRDefault="00321E09" w:rsidP="004C60FB">
      <w:pPr>
        <w:numPr>
          <w:ilvl w:val="0"/>
          <w:numId w:val="2"/>
        </w:numPr>
      </w:pPr>
      <w:r>
        <w:t>Agriculture, Mining and Oil and Gas, Construction: 11, 21, 23</w:t>
      </w:r>
    </w:p>
    <w:p w14:paraId="30FE9B1D" w14:textId="77777777" w:rsidR="00321E09" w:rsidRDefault="00321E09" w:rsidP="004C60FB">
      <w:pPr>
        <w:numPr>
          <w:ilvl w:val="0"/>
          <w:numId w:val="2"/>
        </w:numPr>
      </w:pPr>
      <w:r>
        <w:t>Manufacturing: 31-33</w:t>
      </w:r>
    </w:p>
    <w:p w14:paraId="32917337" w14:textId="77777777" w:rsidR="00321E09" w:rsidRDefault="00321E09" w:rsidP="004C60FB">
      <w:pPr>
        <w:numPr>
          <w:ilvl w:val="0"/>
          <w:numId w:val="2"/>
        </w:numPr>
      </w:pPr>
      <w:r>
        <w:t>Wholesale, Transport, other Utilities: 22, 42, 48-49</w:t>
      </w:r>
    </w:p>
    <w:p w14:paraId="10FDC9FE" w14:textId="77777777" w:rsidR="00321E09" w:rsidRDefault="00321E09" w:rsidP="004C60FB">
      <w:pPr>
        <w:numPr>
          <w:ilvl w:val="0"/>
          <w:numId w:val="2"/>
        </w:numPr>
      </w:pPr>
      <w:r>
        <w:t>Retail stores: 44-45</w:t>
      </w:r>
    </w:p>
    <w:p w14:paraId="733AD3E9" w14:textId="77777777" w:rsidR="00321E09" w:rsidRDefault="00321E09" w:rsidP="004C60FB">
      <w:pPr>
        <w:numPr>
          <w:ilvl w:val="0"/>
          <w:numId w:val="2"/>
        </w:numPr>
      </w:pPr>
      <w:r>
        <w:t>Offices, Hotels, Finance, Services: 51-56, 62, 72</w:t>
      </w:r>
    </w:p>
    <w:p w14:paraId="32E08C27" w14:textId="77777777" w:rsidR="00321E09" w:rsidRDefault="00321E09" w:rsidP="004C60FB">
      <w:pPr>
        <w:numPr>
          <w:ilvl w:val="0"/>
          <w:numId w:val="2"/>
        </w:numPr>
      </w:pPr>
      <w:r>
        <w:t>Schools: 61</w:t>
      </w:r>
    </w:p>
    <w:p w14:paraId="6B6D8D68" w14:textId="77777777" w:rsidR="00321E09" w:rsidRDefault="00321E09" w:rsidP="004C60FB">
      <w:pPr>
        <w:numPr>
          <w:ilvl w:val="0"/>
          <w:numId w:val="2"/>
        </w:numPr>
      </w:pPr>
      <w:r>
        <w:t>Entertainment, Other services and Government: 71, 81, 92</w:t>
      </w:r>
    </w:p>
    <w:p w14:paraId="64D6B56E" w14:textId="77777777" w:rsidR="00321E09" w:rsidRDefault="00321E09" w:rsidP="004C60FB">
      <w:pPr>
        <w:numPr>
          <w:ilvl w:val="0"/>
          <w:numId w:val="2"/>
        </w:numPr>
      </w:pPr>
      <w:r>
        <w:t>Other or unknown.</w:t>
      </w:r>
    </w:p>
    <w:p w14:paraId="1BFB3779" w14:textId="77777777" w:rsidR="00321E09" w:rsidRDefault="00321E09" w:rsidP="00751406"/>
    <w:p w14:paraId="0F8BCFC3" w14:textId="3EE83B27" w:rsidR="00321E09" w:rsidRDefault="00321E09" w:rsidP="00751406">
      <w:r>
        <w:t>In addition, each utility provided information regarding the CAISO Local Capacity Area (LCA) in which the customer resides (if any).</w:t>
      </w:r>
      <w:r w:rsidRPr="008A3E42">
        <w:rPr>
          <w:rStyle w:val="FootnoteReference"/>
        </w:rPr>
        <w:footnoteReference w:id="1"/>
      </w:r>
      <w:r>
        <w:t xml:space="preserve"> </w:t>
      </w:r>
      <w:bookmarkEnd w:id="40"/>
    </w:p>
    <w:p w14:paraId="01AE252A" w14:textId="77777777" w:rsidR="00321E09" w:rsidRPr="00146E50" w:rsidRDefault="00321E09" w:rsidP="00751406">
      <w:pPr>
        <w:pStyle w:val="Heading3"/>
        <w:rPr>
          <w:sz w:val="22"/>
          <w:szCs w:val="22"/>
        </w:rPr>
      </w:pPr>
      <w:bookmarkStart w:id="41" w:name="_Toc415488947"/>
      <w:r>
        <w:rPr>
          <w:sz w:val="22"/>
          <w:szCs w:val="22"/>
        </w:rPr>
        <w:t>2</w:t>
      </w:r>
      <w:r w:rsidRPr="00146E50">
        <w:rPr>
          <w:sz w:val="22"/>
          <w:szCs w:val="22"/>
        </w:rPr>
        <w:t>.2.</w:t>
      </w:r>
      <w:r>
        <w:rPr>
          <w:sz w:val="22"/>
          <w:szCs w:val="22"/>
        </w:rPr>
        <w:t>2</w:t>
      </w:r>
      <w:r w:rsidRPr="00146E50">
        <w:rPr>
          <w:sz w:val="22"/>
          <w:szCs w:val="22"/>
        </w:rPr>
        <w:t xml:space="preserve"> </w:t>
      </w:r>
      <w:r>
        <w:rPr>
          <w:sz w:val="22"/>
          <w:szCs w:val="22"/>
        </w:rPr>
        <w:t>Program Participants by Type</w:t>
      </w:r>
      <w:bookmarkEnd w:id="41"/>
    </w:p>
    <w:p w14:paraId="10D46E03" w14:textId="700690E9" w:rsidR="00321E09" w:rsidRDefault="00321E09" w:rsidP="005839AE">
      <w:r>
        <w:t>The following sets of tables summarize the characteristics of the participating customer accounts, including size, industry type, and LCA. Table 2.1 shows B</w:t>
      </w:r>
      <w:r w:rsidR="008F1160">
        <w:t>I</w:t>
      </w:r>
      <w:r>
        <w:t>P enrollment by industry group for PG&amp;E</w:t>
      </w:r>
      <w:r w:rsidR="00742A4F">
        <w:t xml:space="preserve"> on the </w:t>
      </w:r>
      <w:r w:rsidR="000E32E6">
        <w:t>September 11, 2014</w:t>
      </w:r>
      <w:r w:rsidR="00742A4F">
        <w:t xml:space="preserve"> event day</w:t>
      </w:r>
      <w:r>
        <w:t xml:space="preserve">. </w:t>
      </w:r>
      <w:r w:rsidRPr="002C31CE">
        <w:t>Enrollment in PG&amp;E’s B</w:t>
      </w:r>
      <w:r w:rsidR="008F1160">
        <w:t>I</w:t>
      </w:r>
      <w:r w:rsidRPr="002C31CE">
        <w:t xml:space="preserve">P </w:t>
      </w:r>
      <w:r w:rsidR="009012D7">
        <w:t>dec</w:t>
      </w:r>
      <w:r w:rsidR="00B2345B">
        <w:t xml:space="preserve">reased </w:t>
      </w:r>
      <w:r w:rsidR="009012D7">
        <w:t>relative to PY201</w:t>
      </w:r>
      <w:r w:rsidR="00BF0B77">
        <w:t>3</w:t>
      </w:r>
      <w:r w:rsidR="009012D7">
        <w:t xml:space="preserve">, </w:t>
      </w:r>
      <w:r w:rsidR="00B2345B">
        <w:t>from</w:t>
      </w:r>
      <w:r w:rsidR="00BF0B77">
        <w:t xml:space="preserve"> </w:t>
      </w:r>
      <w:r w:rsidR="000E32E6">
        <w:t>280</w:t>
      </w:r>
      <w:r w:rsidR="00BF0B77">
        <w:t xml:space="preserve"> to </w:t>
      </w:r>
      <w:r w:rsidR="000E32E6">
        <w:t>218</w:t>
      </w:r>
      <w:r w:rsidR="00B2345B">
        <w:t xml:space="preserve"> </w:t>
      </w:r>
      <w:r w:rsidR="00AF1B75">
        <w:t xml:space="preserve">in </w:t>
      </w:r>
      <w:r w:rsidR="00B2345B">
        <w:t>201</w:t>
      </w:r>
      <w:r w:rsidR="00BF0B77">
        <w:t>4</w:t>
      </w:r>
      <w:r w:rsidRPr="002C31CE">
        <w:t>.</w:t>
      </w:r>
      <w:r w:rsidR="009C08A8">
        <w:rPr>
          <w:rStyle w:val="FootnoteReference"/>
        </w:rPr>
        <w:footnoteReference w:id="2"/>
      </w:r>
      <w:r w:rsidRPr="002C31CE">
        <w:t xml:space="preserve"> </w:t>
      </w:r>
      <w:r w:rsidR="000B4FFE">
        <w:t>T</w:t>
      </w:r>
      <w:r w:rsidRPr="002C31CE">
        <w:t xml:space="preserve">he sum of enrolled customers’ </w:t>
      </w:r>
      <w:r w:rsidR="009D06AF">
        <w:t>coincident</w:t>
      </w:r>
      <w:r w:rsidRPr="002C31CE">
        <w:t xml:space="preserve"> maximum demands</w:t>
      </w:r>
      <w:r w:rsidRPr="008A3E42">
        <w:rPr>
          <w:rStyle w:val="FootnoteReference"/>
        </w:rPr>
        <w:footnoteReference w:id="3"/>
      </w:r>
      <w:r w:rsidRPr="002C31CE">
        <w:t xml:space="preserve"> </w:t>
      </w:r>
      <w:r w:rsidR="009012D7">
        <w:t xml:space="preserve">was </w:t>
      </w:r>
      <w:r w:rsidR="000E32E6">
        <w:t>323</w:t>
      </w:r>
      <w:r>
        <w:t xml:space="preserve"> MW, </w:t>
      </w:r>
      <w:r w:rsidR="009D06AF">
        <w:t xml:space="preserve">or </w:t>
      </w:r>
      <w:r w:rsidR="000E32E6">
        <w:t>1</w:t>
      </w:r>
      <w:r w:rsidR="009012D7">
        <w:t>.</w:t>
      </w:r>
      <w:r w:rsidR="000E32E6">
        <w:t>48</w:t>
      </w:r>
      <w:r w:rsidR="009012D7">
        <w:t xml:space="preserve"> </w:t>
      </w:r>
      <w:r w:rsidRPr="009D06AF">
        <w:t xml:space="preserve">MW </w:t>
      </w:r>
      <w:r w:rsidR="006A00FD" w:rsidRPr="009D06AF">
        <w:t xml:space="preserve">for the average </w:t>
      </w:r>
      <w:r w:rsidR="009D06AF">
        <w:lastRenderedPageBreak/>
        <w:t>service a</w:t>
      </w:r>
      <w:r w:rsidR="00383F6F">
        <w:t>greement</w:t>
      </w:r>
      <w:r w:rsidRPr="009D06AF">
        <w:t>.</w:t>
      </w:r>
      <w:r w:rsidRPr="002C31CE">
        <w:t xml:space="preserve"> T</w:t>
      </w:r>
      <w:r w:rsidR="000E32E6">
        <w:t>he manufacturing industry group contains more than half of the enrolled load</w:t>
      </w:r>
      <w:r w:rsidR="00C06BAC">
        <w:t>.</w:t>
      </w:r>
      <w:r w:rsidR="009F7CB1">
        <w:t xml:space="preserve"> </w:t>
      </w:r>
      <w:r w:rsidR="00A94317">
        <w:t>Note that portions of the table have been removed due to confidentiality concerns.</w:t>
      </w:r>
    </w:p>
    <w:p w14:paraId="408D33F2" w14:textId="77777777" w:rsidR="007C28F4" w:rsidRDefault="007C28F4" w:rsidP="007C28F4"/>
    <w:p w14:paraId="040EA701" w14:textId="43956518" w:rsidR="007C28F4" w:rsidRPr="00852320" w:rsidRDefault="007C28F4" w:rsidP="007C28F4">
      <w:pPr>
        <w:pStyle w:val="TableCaption"/>
        <w:keepNext/>
        <w:keepLines/>
      </w:pPr>
      <w:bookmarkStart w:id="42" w:name="_Toc415489001"/>
      <w:r w:rsidRPr="006C0719">
        <w:t>Table 2.1: B</w:t>
      </w:r>
      <w:r w:rsidR="006C0719" w:rsidRPr="006C0719">
        <w:t>I</w:t>
      </w:r>
      <w:r w:rsidRPr="006C0719">
        <w:t xml:space="preserve">P Enrollees by Industry Group, </w:t>
      </w:r>
      <w:r w:rsidRPr="006C0719">
        <w:rPr>
          <w:i/>
        </w:rPr>
        <w:t>PG&amp;E</w:t>
      </w:r>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gridCol w:w="2027"/>
        <w:gridCol w:w="1328"/>
        <w:gridCol w:w="1179"/>
        <w:gridCol w:w="1151"/>
      </w:tblGrid>
      <w:tr w:rsidR="007C28F4" w14:paraId="245E4783" w14:textId="77777777" w:rsidTr="0005199B">
        <w:tc>
          <w:tcPr>
            <w:tcW w:w="0" w:type="auto"/>
            <w:shd w:val="clear" w:color="auto" w:fill="D9E2F3"/>
            <w:vAlign w:val="center"/>
          </w:tcPr>
          <w:p w14:paraId="41298DE8" w14:textId="77777777" w:rsidR="007C28F4" w:rsidRPr="007E0A27" w:rsidRDefault="007C28F4" w:rsidP="00351B11">
            <w:pPr>
              <w:keepNext/>
              <w:keepLines/>
              <w:jc w:val="center"/>
              <w:rPr>
                <w:rFonts w:ascii="Arial" w:hAnsi="Arial" w:cs="Arial"/>
                <w:b/>
                <w:sz w:val="20"/>
                <w:szCs w:val="20"/>
              </w:rPr>
            </w:pPr>
            <w:r w:rsidRPr="007E0A27">
              <w:rPr>
                <w:rFonts w:ascii="Arial" w:hAnsi="Arial" w:cs="Arial"/>
                <w:b/>
                <w:sz w:val="20"/>
                <w:szCs w:val="20"/>
              </w:rPr>
              <w:t>Industry Type</w:t>
            </w:r>
          </w:p>
        </w:tc>
        <w:tc>
          <w:tcPr>
            <w:tcW w:w="0" w:type="auto"/>
            <w:shd w:val="clear" w:color="auto" w:fill="D9E2F3"/>
            <w:vAlign w:val="center"/>
          </w:tcPr>
          <w:p w14:paraId="7235CE20" w14:textId="6285BA38" w:rsidR="007C28F4" w:rsidRPr="007E0A27" w:rsidRDefault="007C28F4" w:rsidP="00383F6F">
            <w:pPr>
              <w:keepNext/>
              <w:keepLines/>
              <w:jc w:val="center"/>
              <w:rPr>
                <w:rFonts w:ascii="Arial" w:hAnsi="Arial" w:cs="Arial"/>
                <w:b/>
                <w:sz w:val="20"/>
                <w:szCs w:val="20"/>
              </w:rPr>
            </w:pPr>
            <w:r>
              <w:rPr>
                <w:rFonts w:ascii="Arial" w:hAnsi="Arial" w:cs="Arial"/>
                <w:b/>
                <w:sz w:val="20"/>
                <w:szCs w:val="20"/>
              </w:rPr>
              <w:t># of Service A</w:t>
            </w:r>
            <w:r w:rsidR="00383F6F">
              <w:rPr>
                <w:rFonts w:ascii="Arial" w:hAnsi="Arial" w:cs="Arial"/>
                <w:b/>
                <w:sz w:val="20"/>
                <w:szCs w:val="20"/>
              </w:rPr>
              <w:t>greement</w:t>
            </w:r>
            <w:r>
              <w:rPr>
                <w:rFonts w:ascii="Arial" w:hAnsi="Arial" w:cs="Arial"/>
                <w:b/>
                <w:sz w:val="20"/>
                <w:szCs w:val="20"/>
              </w:rPr>
              <w:t>s</w:t>
            </w:r>
          </w:p>
        </w:tc>
        <w:tc>
          <w:tcPr>
            <w:tcW w:w="0" w:type="auto"/>
            <w:shd w:val="clear" w:color="auto" w:fill="D9E2F3"/>
            <w:vAlign w:val="center"/>
          </w:tcPr>
          <w:p w14:paraId="1531A175" w14:textId="77777777" w:rsidR="007C28F4" w:rsidRPr="007E0A27" w:rsidRDefault="007C28F4" w:rsidP="00351B11">
            <w:pPr>
              <w:keepNext/>
              <w:keepLines/>
              <w:jc w:val="center"/>
              <w:rPr>
                <w:rFonts w:ascii="Arial" w:hAnsi="Arial" w:cs="Arial"/>
                <w:b/>
                <w:sz w:val="20"/>
                <w:szCs w:val="20"/>
              </w:rPr>
            </w:pPr>
            <w:r w:rsidRPr="007E0A27">
              <w:rPr>
                <w:rFonts w:ascii="Arial" w:hAnsi="Arial" w:cs="Arial"/>
                <w:b/>
                <w:sz w:val="20"/>
                <w:szCs w:val="20"/>
              </w:rPr>
              <w:t xml:space="preserve">Sum of Max </w:t>
            </w:r>
            <w:r>
              <w:rPr>
                <w:rFonts w:ascii="Arial" w:hAnsi="Arial" w:cs="Arial"/>
                <w:b/>
                <w:sz w:val="20"/>
                <w:szCs w:val="20"/>
              </w:rPr>
              <w:t>M</w:t>
            </w:r>
            <w:r w:rsidRPr="007E0A27">
              <w:rPr>
                <w:rFonts w:ascii="Arial" w:hAnsi="Arial" w:cs="Arial"/>
                <w:b/>
                <w:sz w:val="20"/>
                <w:szCs w:val="20"/>
              </w:rPr>
              <w:t>W</w:t>
            </w:r>
            <w:r>
              <w:rPr>
                <w:rStyle w:val="FootnoteReference"/>
                <w:rFonts w:ascii="Arial" w:hAnsi="Arial" w:cs="Arial"/>
                <w:b/>
                <w:sz w:val="18"/>
                <w:szCs w:val="18"/>
              </w:rPr>
              <w:footnoteReference w:id="4"/>
            </w:r>
          </w:p>
        </w:tc>
        <w:tc>
          <w:tcPr>
            <w:tcW w:w="0" w:type="auto"/>
            <w:shd w:val="clear" w:color="auto" w:fill="D9E2F3"/>
            <w:vAlign w:val="center"/>
          </w:tcPr>
          <w:p w14:paraId="2C0BB47C" w14:textId="77777777" w:rsidR="007C28F4" w:rsidRPr="007E0A27" w:rsidRDefault="007C28F4" w:rsidP="00351B11">
            <w:pPr>
              <w:keepNext/>
              <w:keepLines/>
              <w:jc w:val="center"/>
              <w:rPr>
                <w:rFonts w:ascii="Arial" w:hAnsi="Arial" w:cs="Arial"/>
                <w:b/>
                <w:sz w:val="20"/>
                <w:szCs w:val="20"/>
              </w:rPr>
            </w:pPr>
            <w:r w:rsidRPr="007E0A27">
              <w:rPr>
                <w:rFonts w:ascii="Arial" w:hAnsi="Arial" w:cs="Arial"/>
                <w:b/>
                <w:sz w:val="20"/>
                <w:szCs w:val="20"/>
              </w:rPr>
              <w:t xml:space="preserve">% of Max </w:t>
            </w:r>
            <w:r>
              <w:rPr>
                <w:rFonts w:ascii="Arial" w:hAnsi="Arial" w:cs="Arial"/>
                <w:b/>
                <w:sz w:val="20"/>
                <w:szCs w:val="20"/>
              </w:rPr>
              <w:t>M</w:t>
            </w:r>
            <w:r w:rsidRPr="007E0A27">
              <w:rPr>
                <w:rFonts w:ascii="Arial" w:hAnsi="Arial" w:cs="Arial"/>
                <w:b/>
                <w:sz w:val="20"/>
                <w:szCs w:val="20"/>
              </w:rPr>
              <w:t>W</w:t>
            </w:r>
          </w:p>
        </w:tc>
        <w:tc>
          <w:tcPr>
            <w:tcW w:w="0" w:type="auto"/>
            <w:shd w:val="clear" w:color="auto" w:fill="D9E2F3"/>
            <w:vAlign w:val="center"/>
          </w:tcPr>
          <w:p w14:paraId="5817CE9D" w14:textId="77777777" w:rsidR="007C28F4" w:rsidRPr="007E0A27" w:rsidRDefault="007C28F4" w:rsidP="00351B11">
            <w:pPr>
              <w:keepNext/>
              <w:keepLines/>
              <w:jc w:val="center"/>
              <w:rPr>
                <w:rFonts w:ascii="Arial" w:hAnsi="Arial" w:cs="Arial"/>
                <w:b/>
                <w:sz w:val="20"/>
                <w:szCs w:val="20"/>
              </w:rPr>
            </w:pPr>
            <w:r w:rsidRPr="007E0A27">
              <w:rPr>
                <w:rFonts w:ascii="Arial" w:hAnsi="Arial" w:cs="Arial"/>
                <w:b/>
                <w:sz w:val="20"/>
                <w:szCs w:val="20"/>
              </w:rPr>
              <w:t xml:space="preserve">Ave. </w:t>
            </w:r>
            <w:r>
              <w:rPr>
                <w:rFonts w:ascii="Arial" w:hAnsi="Arial" w:cs="Arial"/>
                <w:b/>
                <w:sz w:val="20"/>
                <w:szCs w:val="20"/>
              </w:rPr>
              <w:t>Max MW</w:t>
            </w:r>
            <w:r>
              <w:rPr>
                <w:rStyle w:val="FootnoteReference"/>
                <w:rFonts w:ascii="Arial" w:hAnsi="Arial" w:cs="Arial"/>
                <w:b/>
                <w:sz w:val="18"/>
                <w:szCs w:val="18"/>
              </w:rPr>
              <w:footnoteReference w:id="5"/>
            </w:r>
          </w:p>
        </w:tc>
      </w:tr>
      <w:tr w:rsidR="006C0719" w14:paraId="03FB066A" w14:textId="77777777" w:rsidTr="006C0719">
        <w:tc>
          <w:tcPr>
            <w:tcW w:w="0" w:type="auto"/>
          </w:tcPr>
          <w:p w14:paraId="4FEA2456"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1.Ag</w:t>
            </w:r>
            <w:r>
              <w:rPr>
                <w:rFonts w:ascii="Arial" w:hAnsi="Arial" w:cs="Arial"/>
                <w:sz w:val="20"/>
                <w:szCs w:val="20"/>
              </w:rPr>
              <w:t>riculture</w:t>
            </w:r>
            <w:r w:rsidRPr="007E0A27">
              <w:rPr>
                <w:rFonts w:ascii="Arial" w:hAnsi="Arial" w:cs="Arial"/>
                <w:sz w:val="20"/>
                <w:szCs w:val="20"/>
              </w:rPr>
              <w:t>, Mining, Constr</w:t>
            </w:r>
            <w:r>
              <w:rPr>
                <w:rFonts w:ascii="Arial" w:hAnsi="Arial" w:cs="Arial"/>
                <w:sz w:val="20"/>
                <w:szCs w:val="20"/>
              </w:rPr>
              <w:t>uction</w:t>
            </w:r>
          </w:p>
        </w:tc>
        <w:tc>
          <w:tcPr>
            <w:tcW w:w="0" w:type="auto"/>
            <w:vAlign w:val="center"/>
          </w:tcPr>
          <w:p w14:paraId="6480D679" w14:textId="74BBAA38" w:rsidR="006C0719" w:rsidRPr="006C0719" w:rsidRDefault="006C0719" w:rsidP="006C0719">
            <w:pPr>
              <w:jc w:val="right"/>
              <w:rPr>
                <w:rFonts w:ascii="Arial" w:hAnsi="Arial" w:cs="Arial"/>
                <w:sz w:val="20"/>
                <w:szCs w:val="20"/>
              </w:rPr>
            </w:pPr>
            <w:r w:rsidRPr="006C0719">
              <w:rPr>
                <w:rFonts w:ascii="Arial" w:hAnsi="Arial" w:cs="Arial"/>
                <w:sz w:val="20"/>
                <w:szCs w:val="20"/>
              </w:rPr>
              <w:t>41</w:t>
            </w:r>
          </w:p>
        </w:tc>
        <w:tc>
          <w:tcPr>
            <w:tcW w:w="0" w:type="auto"/>
            <w:vAlign w:val="center"/>
          </w:tcPr>
          <w:p w14:paraId="3DB0DAFD" w14:textId="243E4CC9" w:rsidR="006C0719" w:rsidRPr="006C0719" w:rsidRDefault="006C0719" w:rsidP="006C0719">
            <w:pPr>
              <w:jc w:val="right"/>
              <w:rPr>
                <w:rFonts w:ascii="Arial" w:hAnsi="Arial" w:cs="Arial"/>
                <w:sz w:val="20"/>
                <w:szCs w:val="20"/>
              </w:rPr>
            </w:pPr>
            <w:r w:rsidRPr="006C0719">
              <w:rPr>
                <w:rFonts w:ascii="Arial" w:hAnsi="Arial" w:cs="Arial"/>
                <w:sz w:val="20"/>
                <w:szCs w:val="20"/>
              </w:rPr>
              <w:t>58.4</w:t>
            </w:r>
          </w:p>
        </w:tc>
        <w:tc>
          <w:tcPr>
            <w:tcW w:w="0" w:type="auto"/>
            <w:vAlign w:val="center"/>
          </w:tcPr>
          <w:p w14:paraId="44CDFF7D" w14:textId="00C2378E" w:rsidR="006C0719" w:rsidRPr="006C0719" w:rsidRDefault="006C0719" w:rsidP="006C0719">
            <w:pPr>
              <w:jc w:val="right"/>
              <w:rPr>
                <w:rFonts w:ascii="Arial" w:hAnsi="Arial" w:cs="Arial"/>
                <w:sz w:val="20"/>
                <w:szCs w:val="20"/>
              </w:rPr>
            </w:pPr>
            <w:r w:rsidRPr="006C0719">
              <w:rPr>
                <w:rFonts w:ascii="Arial" w:hAnsi="Arial" w:cs="Arial"/>
                <w:sz w:val="20"/>
                <w:szCs w:val="20"/>
              </w:rPr>
              <w:t>18.1%</w:t>
            </w:r>
          </w:p>
        </w:tc>
        <w:tc>
          <w:tcPr>
            <w:tcW w:w="0" w:type="auto"/>
            <w:vAlign w:val="center"/>
          </w:tcPr>
          <w:p w14:paraId="2DCF479C" w14:textId="073FE44A" w:rsidR="006C0719" w:rsidRPr="006C0719" w:rsidRDefault="006C0719" w:rsidP="006C0719">
            <w:pPr>
              <w:jc w:val="right"/>
              <w:rPr>
                <w:rFonts w:ascii="Arial" w:hAnsi="Arial" w:cs="Arial"/>
                <w:sz w:val="20"/>
                <w:szCs w:val="20"/>
              </w:rPr>
            </w:pPr>
            <w:r w:rsidRPr="006C0719">
              <w:rPr>
                <w:rFonts w:ascii="Arial" w:hAnsi="Arial" w:cs="Arial"/>
                <w:sz w:val="20"/>
                <w:szCs w:val="20"/>
              </w:rPr>
              <w:t>1.42</w:t>
            </w:r>
          </w:p>
        </w:tc>
      </w:tr>
      <w:tr w:rsidR="006C0719" w14:paraId="09D903E5" w14:textId="77777777" w:rsidTr="006C0719">
        <w:tc>
          <w:tcPr>
            <w:tcW w:w="0" w:type="auto"/>
          </w:tcPr>
          <w:p w14:paraId="5031C2B6"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2.Manufacturing</w:t>
            </w:r>
          </w:p>
        </w:tc>
        <w:tc>
          <w:tcPr>
            <w:tcW w:w="0" w:type="auto"/>
            <w:vAlign w:val="center"/>
          </w:tcPr>
          <w:p w14:paraId="20078E6B" w14:textId="73390117" w:rsidR="006C0719" w:rsidRPr="006C0719" w:rsidRDefault="006C0719" w:rsidP="006C0719">
            <w:pPr>
              <w:jc w:val="right"/>
              <w:rPr>
                <w:rFonts w:ascii="Arial" w:hAnsi="Arial" w:cs="Arial"/>
                <w:sz w:val="20"/>
                <w:szCs w:val="20"/>
              </w:rPr>
            </w:pPr>
            <w:r w:rsidRPr="006C0719">
              <w:rPr>
                <w:rFonts w:ascii="Arial" w:hAnsi="Arial" w:cs="Arial"/>
                <w:sz w:val="20"/>
                <w:szCs w:val="20"/>
              </w:rPr>
              <w:t>85</w:t>
            </w:r>
          </w:p>
        </w:tc>
        <w:tc>
          <w:tcPr>
            <w:tcW w:w="0" w:type="auto"/>
            <w:vAlign w:val="center"/>
          </w:tcPr>
          <w:p w14:paraId="5CEF7197" w14:textId="2D753379" w:rsidR="006C0719" w:rsidRPr="006C0719" w:rsidRDefault="006C0719" w:rsidP="006C0719">
            <w:pPr>
              <w:jc w:val="right"/>
              <w:rPr>
                <w:rFonts w:ascii="Arial" w:hAnsi="Arial" w:cs="Arial"/>
                <w:sz w:val="20"/>
                <w:szCs w:val="20"/>
              </w:rPr>
            </w:pPr>
            <w:r w:rsidRPr="006C0719">
              <w:rPr>
                <w:rFonts w:ascii="Arial" w:hAnsi="Arial" w:cs="Arial"/>
                <w:sz w:val="20"/>
                <w:szCs w:val="20"/>
              </w:rPr>
              <w:t>177.8</w:t>
            </w:r>
          </w:p>
        </w:tc>
        <w:tc>
          <w:tcPr>
            <w:tcW w:w="0" w:type="auto"/>
            <w:vAlign w:val="center"/>
          </w:tcPr>
          <w:p w14:paraId="68E59C13" w14:textId="524C69F0" w:rsidR="006C0719" w:rsidRPr="006C0719" w:rsidRDefault="006C0719" w:rsidP="006C0719">
            <w:pPr>
              <w:jc w:val="right"/>
              <w:rPr>
                <w:rFonts w:ascii="Arial" w:hAnsi="Arial" w:cs="Arial"/>
                <w:sz w:val="20"/>
                <w:szCs w:val="20"/>
              </w:rPr>
            </w:pPr>
            <w:r w:rsidRPr="006C0719">
              <w:rPr>
                <w:rFonts w:ascii="Arial" w:hAnsi="Arial" w:cs="Arial"/>
                <w:sz w:val="20"/>
                <w:szCs w:val="20"/>
              </w:rPr>
              <w:t>55.1%</w:t>
            </w:r>
          </w:p>
        </w:tc>
        <w:tc>
          <w:tcPr>
            <w:tcW w:w="0" w:type="auto"/>
            <w:vAlign w:val="center"/>
          </w:tcPr>
          <w:p w14:paraId="4BA16629" w14:textId="19D1B687" w:rsidR="006C0719" w:rsidRPr="006C0719" w:rsidRDefault="006C0719" w:rsidP="006C0719">
            <w:pPr>
              <w:jc w:val="right"/>
              <w:rPr>
                <w:rFonts w:ascii="Arial" w:hAnsi="Arial" w:cs="Arial"/>
                <w:sz w:val="20"/>
                <w:szCs w:val="20"/>
              </w:rPr>
            </w:pPr>
            <w:r w:rsidRPr="006C0719">
              <w:rPr>
                <w:rFonts w:ascii="Arial" w:hAnsi="Arial" w:cs="Arial"/>
                <w:sz w:val="20"/>
                <w:szCs w:val="20"/>
              </w:rPr>
              <w:t>2.09</w:t>
            </w:r>
          </w:p>
        </w:tc>
      </w:tr>
      <w:tr w:rsidR="006C0719" w14:paraId="2E797461" w14:textId="77777777" w:rsidTr="006C0719">
        <w:tc>
          <w:tcPr>
            <w:tcW w:w="0" w:type="auto"/>
          </w:tcPr>
          <w:p w14:paraId="6577293A"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3.Whole</w:t>
            </w:r>
            <w:r>
              <w:rPr>
                <w:rFonts w:ascii="Arial" w:hAnsi="Arial" w:cs="Arial"/>
                <w:sz w:val="20"/>
                <w:szCs w:val="20"/>
              </w:rPr>
              <w:t>sale</w:t>
            </w:r>
            <w:r w:rsidRPr="007E0A27">
              <w:rPr>
                <w:rFonts w:ascii="Arial" w:hAnsi="Arial" w:cs="Arial"/>
                <w:sz w:val="20"/>
                <w:szCs w:val="20"/>
              </w:rPr>
              <w:t>, Trans</w:t>
            </w:r>
            <w:r>
              <w:rPr>
                <w:rFonts w:ascii="Arial" w:hAnsi="Arial" w:cs="Arial"/>
                <w:sz w:val="20"/>
                <w:szCs w:val="20"/>
              </w:rPr>
              <w:t>portation</w:t>
            </w:r>
            <w:r w:rsidRPr="007E0A27">
              <w:rPr>
                <w:rFonts w:ascii="Arial" w:hAnsi="Arial" w:cs="Arial"/>
                <w:sz w:val="20"/>
                <w:szCs w:val="20"/>
              </w:rPr>
              <w:t>, Util</w:t>
            </w:r>
            <w:r>
              <w:rPr>
                <w:rFonts w:ascii="Arial" w:hAnsi="Arial" w:cs="Arial"/>
                <w:sz w:val="20"/>
                <w:szCs w:val="20"/>
              </w:rPr>
              <w:t>ities</w:t>
            </w:r>
          </w:p>
        </w:tc>
        <w:tc>
          <w:tcPr>
            <w:tcW w:w="0" w:type="auto"/>
            <w:vAlign w:val="center"/>
          </w:tcPr>
          <w:p w14:paraId="27758963" w14:textId="3DF24AA9" w:rsidR="006C0719" w:rsidRPr="006C0719" w:rsidRDefault="006C0719" w:rsidP="006C0719">
            <w:pPr>
              <w:jc w:val="right"/>
              <w:rPr>
                <w:rFonts w:ascii="Arial" w:hAnsi="Arial" w:cs="Arial"/>
                <w:sz w:val="20"/>
                <w:szCs w:val="20"/>
              </w:rPr>
            </w:pPr>
            <w:r w:rsidRPr="006C0719">
              <w:rPr>
                <w:rFonts w:ascii="Arial" w:hAnsi="Arial" w:cs="Arial"/>
                <w:sz w:val="20"/>
                <w:szCs w:val="20"/>
              </w:rPr>
              <w:t>52</w:t>
            </w:r>
          </w:p>
        </w:tc>
        <w:tc>
          <w:tcPr>
            <w:tcW w:w="0" w:type="auto"/>
            <w:vAlign w:val="center"/>
          </w:tcPr>
          <w:p w14:paraId="63246358" w14:textId="5A2A5D5E" w:rsidR="006C0719" w:rsidRPr="006C0719" w:rsidRDefault="006C0719" w:rsidP="006C0719">
            <w:pPr>
              <w:jc w:val="right"/>
              <w:rPr>
                <w:rFonts w:ascii="Arial" w:hAnsi="Arial" w:cs="Arial"/>
                <w:sz w:val="20"/>
                <w:szCs w:val="20"/>
              </w:rPr>
            </w:pPr>
            <w:r w:rsidRPr="006C0719">
              <w:rPr>
                <w:rFonts w:ascii="Arial" w:hAnsi="Arial" w:cs="Arial"/>
                <w:sz w:val="20"/>
                <w:szCs w:val="20"/>
              </w:rPr>
              <w:t>54.7</w:t>
            </w:r>
          </w:p>
        </w:tc>
        <w:tc>
          <w:tcPr>
            <w:tcW w:w="0" w:type="auto"/>
            <w:vAlign w:val="center"/>
          </w:tcPr>
          <w:p w14:paraId="060412A5" w14:textId="6A4A3D98" w:rsidR="006C0719" w:rsidRPr="006C0719" w:rsidRDefault="006C0719" w:rsidP="006C0719">
            <w:pPr>
              <w:jc w:val="right"/>
              <w:rPr>
                <w:rFonts w:ascii="Arial" w:hAnsi="Arial" w:cs="Arial"/>
                <w:sz w:val="20"/>
                <w:szCs w:val="20"/>
              </w:rPr>
            </w:pPr>
            <w:r w:rsidRPr="006C0719">
              <w:rPr>
                <w:rFonts w:ascii="Arial" w:hAnsi="Arial" w:cs="Arial"/>
                <w:sz w:val="20"/>
                <w:szCs w:val="20"/>
              </w:rPr>
              <w:t>17.0%</w:t>
            </w:r>
          </w:p>
        </w:tc>
        <w:tc>
          <w:tcPr>
            <w:tcW w:w="0" w:type="auto"/>
            <w:vAlign w:val="center"/>
          </w:tcPr>
          <w:p w14:paraId="654BF817" w14:textId="0B66C304" w:rsidR="006C0719" w:rsidRPr="006C0719" w:rsidRDefault="006C0719" w:rsidP="006C0719">
            <w:pPr>
              <w:jc w:val="right"/>
              <w:rPr>
                <w:rFonts w:ascii="Arial" w:hAnsi="Arial" w:cs="Arial"/>
                <w:sz w:val="20"/>
                <w:szCs w:val="20"/>
              </w:rPr>
            </w:pPr>
            <w:r w:rsidRPr="006C0719">
              <w:rPr>
                <w:rFonts w:ascii="Arial" w:hAnsi="Arial" w:cs="Arial"/>
                <w:sz w:val="20"/>
                <w:szCs w:val="20"/>
              </w:rPr>
              <w:t>1.05</w:t>
            </w:r>
          </w:p>
        </w:tc>
      </w:tr>
      <w:tr w:rsidR="006C0719" w14:paraId="1692927E" w14:textId="77777777" w:rsidTr="006C0719">
        <w:tc>
          <w:tcPr>
            <w:tcW w:w="0" w:type="auto"/>
          </w:tcPr>
          <w:p w14:paraId="047287E8"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4.Retail</w:t>
            </w:r>
          </w:p>
        </w:tc>
        <w:tc>
          <w:tcPr>
            <w:tcW w:w="0" w:type="auto"/>
            <w:vAlign w:val="center"/>
          </w:tcPr>
          <w:p w14:paraId="38D47A84" w14:textId="5E2D109E" w:rsidR="006C0719" w:rsidRPr="006C0719" w:rsidRDefault="006C0719" w:rsidP="006C0719">
            <w:pPr>
              <w:jc w:val="right"/>
              <w:rPr>
                <w:rFonts w:ascii="Arial" w:hAnsi="Arial" w:cs="Arial"/>
                <w:sz w:val="20"/>
                <w:szCs w:val="20"/>
              </w:rPr>
            </w:pPr>
          </w:p>
        </w:tc>
        <w:tc>
          <w:tcPr>
            <w:tcW w:w="0" w:type="auto"/>
            <w:vAlign w:val="center"/>
          </w:tcPr>
          <w:p w14:paraId="4A6CEC60" w14:textId="11F4249B" w:rsidR="006C0719" w:rsidRPr="006C0719" w:rsidRDefault="006C0719" w:rsidP="006C0719">
            <w:pPr>
              <w:jc w:val="right"/>
              <w:rPr>
                <w:rFonts w:ascii="Arial" w:hAnsi="Arial" w:cs="Arial"/>
                <w:sz w:val="20"/>
                <w:szCs w:val="20"/>
              </w:rPr>
            </w:pPr>
          </w:p>
        </w:tc>
        <w:tc>
          <w:tcPr>
            <w:tcW w:w="0" w:type="auto"/>
            <w:vAlign w:val="center"/>
          </w:tcPr>
          <w:p w14:paraId="4FB4F138" w14:textId="6D69E146" w:rsidR="006C0719" w:rsidRPr="006C0719" w:rsidRDefault="006C0719" w:rsidP="006C0719">
            <w:pPr>
              <w:jc w:val="right"/>
              <w:rPr>
                <w:rFonts w:ascii="Arial" w:hAnsi="Arial" w:cs="Arial"/>
                <w:sz w:val="20"/>
                <w:szCs w:val="20"/>
              </w:rPr>
            </w:pPr>
          </w:p>
        </w:tc>
        <w:tc>
          <w:tcPr>
            <w:tcW w:w="0" w:type="auto"/>
            <w:vAlign w:val="center"/>
          </w:tcPr>
          <w:p w14:paraId="6B96E315" w14:textId="6F6AC08D" w:rsidR="006C0719" w:rsidRPr="006C0719" w:rsidRDefault="006C0719" w:rsidP="006C0719">
            <w:pPr>
              <w:jc w:val="right"/>
              <w:rPr>
                <w:rFonts w:ascii="Arial" w:hAnsi="Arial" w:cs="Arial"/>
                <w:sz w:val="20"/>
                <w:szCs w:val="20"/>
              </w:rPr>
            </w:pPr>
          </w:p>
        </w:tc>
      </w:tr>
      <w:tr w:rsidR="006C0719" w14:paraId="257116B7" w14:textId="77777777" w:rsidTr="006C0719">
        <w:tc>
          <w:tcPr>
            <w:tcW w:w="0" w:type="auto"/>
            <w:vAlign w:val="center"/>
          </w:tcPr>
          <w:p w14:paraId="100ABAFA"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5.Offices, Hotels, Health, Services</w:t>
            </w:r>
          </w:p>
        </w:tc>
        <w:tc>
          <w:tcPr>
            <w:tcW w:w="0" w:type="auto"/>
            <w:vAlign w:val="center"/>
          </w:tcPr>
          <w:p w14:paraId="06B3BC13" w14:textId="34D14CDC" w:rsidR="006C0719" w:rsidRPr="006C0719" w:rsidRDefault="006C0719" w:rsidP="006C0719">
            <w:pPr>
              <w:jc w:val="right"/>
              <w:rPr>
                <w:rFonts w:ascii="Arial" w:hAnsi="Arial" w:cs="Arial"/>
                <w:sz w:val="20"/>
                <w:szCs w:val="20"/>
              </w:rPr>
            </w:pPr>
          </w:p>
        </w:tc>
        <w:tc>
          <w:tcPr>
            <w:tcW w:w="0" w:type="auto"/>
            <w:vAlign w:val="center"/>
          </w:tcPr>
          <w:p w14:paraId="3842E1AC" w14:textId="482454AD" w:rsidR="006C0719" w:rsidRPr="006C0719" w:rsidRDefault="006C0719" w:rsidP="006C0719">
            <w:pPr>
              <w:jc w:val="right"/>
              <w:rPr>
                <w:rFonts w:ascii="Arial" w:hAnsi="Arial" w:cs="Arial"/>
                <w:sz w:val="20"/>
                <w:szCs w:val="20"/>
              </w:rPr>
            </w:pPr>
          </w:p>
        </w:tc>
        <w:tc>
          <w:tcPr>
            <w:tcW w:w="0" w:type="auto"/>
            <w:vAlign w:val="center"/>
          </w:tcPr>
          <w:p w14:paraId="78D842DF" w14:textId="0DE93F0B" w:rsidR="006C0719" w:rsidRPr="006C0719" w:rsidRDefault="006C0719" w:rsidP="006C0719">
            <w:pPr>
              <w:jc w:val="right"/>
              <w:rPr>
                <w:rFonts w:ascii="Arial" w:hAnsi="Arial" w:cs="Arial"/>
                <w:sz w:val="20"/>
                <w:szCs w:val="20"/>
              </w:rPr>
            </w:pPr>
          </w:p>
        </w:tc>
        <w:tc>
          <w:tcPr>
            <w:tcW w:w="0" w:type="auto"/>
            <w:vAlign w:val="center"/>
          </w:tcPr>
          <w:p w14:paraId="1B8A587B" w14:textId="01E37417" w:rsidR="006C0719" w:rsidRPr="006C0719" w:rsidRDefault="006C0719" w:rsidP="006C0719">
            <w:pPr>
              <w:jc w:val="right"/>
              <w:rPr>
                <w:rFonts w:ascii="Arial" w:hAnsi="Arial" w:cs="Arial"/>
                <w:sz w:val="20"/>
                <w:szCs w:val="20"/>
              </w:rPr>
            </w:pPr>
          </w:p>
        </w:tc>
      </w:tr>
      <w:tr w:rsidR="006C0719" w14:paraId="61FEAF58" w14:textId="77777777" w:rsidTr="006C0719">
        <w:tc>
          <w:tcPr>
            <w:tcW w:w="0" w:type="auto"/>
          </w:tcPr>
          <w:p w14:paraId="7E812E83"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6.Schools</w:t>
            </w:r>
          </w:p>
        </w:tc>
        <w:tc>
          <w:tcPr>
            <w:tcW w:w="0" w:type="auto"/>
            <w:vAlign w:val="center"/>
          </w:tcPr>
          <w:p w14:paraId="3CE25518" w14:textId="62777E29" w:rsidR="006C0719" w:rsidRPr="006C0719" w:rsidRDefault="006C0719" w:rsidP="006C0719">
            <w:pPr>
              <w:jc w:val="right"/>
              <w:rPr>
                <w:rFonts w:ascii="Arial" w:hAnsi="Arial" w:cs="Arial"/>
                <w:sz w:val="20"/>
                <w:szCs w:val="20"/>
              </w:rPr>
            </w:pPr>
          </w:p>
        </w:tc>
        <w:tc>
          <w:tcPr>
            <w:tcW w:w="0" w:type="auto"/>
            <w:vAlign w:val="center"/>
          </w:tcPr>
          <w:p w14:paraId="51E75D26" w14:textId="0F5246EC" w:rsidR="006C0719" w:rsidRPr="006C0719" w:rsidRDefault="006C0719" w:rsidP="006C0719">
            <w:pPr>
              <w:jc w:val="right"/>
              <w:rPr>
                <w:rFonts w:ascii="Arial" w:hAnsi="Arial" w:cs="Arial"/>
                <w:sz w:val="20"/>
                <w:szCs w:val="20"/>
              </w:rPr>
            </w:pPr>
          </w:p>
        </w:tc>
        <w:tc>
          <w:tcPr>
            <w:tcW w:w="0" w:type="auto"/>
            <w:vAlign w:val="center"/>
          </w:tcPr>
          <w:p w14:paraId="33ED5612" w14:textId="79961FE3" w:rsidR="006C0719" w:rsidRPr="006C0719" w:rsidRDefault="006C0719" w:rsidP="006C0719">
            <w:pPr>
              <w:jc w:val="right"/>
              <w:rPr>
                <w:rFonts w:ascii="Arial" w:hAnsi="Arial" w:cs="Arial"/>
                <w:sz w:val="20"/>
                <w:szCs w:val="20"/>
              </w:rPr>
            </w:pPr>
          </w:p>
        </w:tc>
        <w:tc>
          <w:tcPr>
            <w:tcW w:w="0" w:type="auto"/>
            <w:vAlign w:val="center"/>
          </w:tcPr>
          <w:p w14:paraId="330BAD28" w14:textId="5C7E6FDC" w:rsidR="006C0719" w:rsidRPr="006C0719" w:rsidRDefault="006C0719" w:rsidP="006C0719">
            <w:pPr>
              <w:jc w:val="right"/>
              <w:rPr>
                <w:rFonts w:ascii="Arial" w:hAnsi="Arial" w:cs="Arial"/>
                <w:sz w:val="20"/>
                <w:szCs w:val="20"/>
              </w:rPr>
            </w:pPr>
          </w:p>
        </w:tc>
      </w:tr>
      <w:tr w:rsidR="006C0719" w14:paraId="4B6B42C9" w14:textId="77777777" w:rsidTr="006C0719">
        <w:tc>
          <w:tcPr>
            <w:tcW w:w="0" w:type="auto"/>
          </w:tcPr>
          <w:p w14:paraId="0299BEAE"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7.</w:t>
            </w:r>
            <w:r>
              <w:rPr>
                <w:rFonts w:ascii="Arial" w:hAnsi="Arial" w:cs="Arial"/>
                <w:sz w:val="20"/>
                <w:szCs w:val="20"/>
              </w:rPr>
              <w:t xml:space="preserve"> </w:t>
            </w:r>
            <w:r w:rsidRPr="007E0A27">
              <w:rPr>
                <w:rFonts w:ascii="Arial" w:hAnsi="Arial" w:cs="Arial"/>
                <w:sz w:val="20"/>
                <w:szCs w:val="20"/>
              </w:rPr>
              <w:t>Ent</w:t>
            </w:r>
            <w:r>
              <w:rPr>
                <w:rFonts w:ascii="Arial" w:hAnsi="Arial" w:cs="Arial"/>
                <w:sz w:val="20"/>
                <w:szCs w:val="20"/>
              </w:rPr>
              <w:t>ertainment</w:t>
            </w:r>
            <w:r w:rsidRPr="007E0A27">
              <w:rPr>
                <w:rFonts w:ascii="Arial" w:hAnsi="Arial" w:cs="Arial"/>
                <w:sz w:val="20"/>
                <w:szCs w:val="20"/>
              </w:rPr>
              <w:t xml:space="preserve">, Other </w:t>
            </w:r>
            <w:r>
              <w:rPr>
                <w:rFonts w:ascii="Arial" w:hAnsi="Arial" w:cs="Arial"/>
                <w:sz w:val="20"/>
                <w:szCs w:val="20"/>
              </w:rPr>
              <w:t>Services</w:t>
            </w:r>
            <w:r w:rsidRPr="007E0A27">
              <w:rPr>
                <w:rFonts w:ascii="Arial" w:hAnsi="Arial" w:cs="Arial"/>
                <w:sz w:val="20"/>
                <w:szCs w:val="20"/>
              </w:rPr>
              <w:t>, Gov</w:t>
            </w:r>
            <w:r>
              <w:rPr>
                <w:rFonts w:ascii="Arial" w:hAnsi="Arial" w:cs="Arial"/>
                <w:sz w:val="20"/>
                <w:szCs w:val="20"/>
              </w:rPr>
              <w:t>ernmen</w:t>
            </w:r>
            <w:r w:rsidRPr="007E0A27">
              <w:rPr>
                <w:rFonts w:ascii="Arial" w:hAnsi="Arial" w:cs="Arial"/>
                <w:sz w:val="20"/>
                <w:szCs w:val="20"/>
              </w:rPr>
              <w:t>t.</w:t>
            </w:r>
          </w:p>
        </w:tc>
        <w:tc>
          <w:tcPr>
            <w:tcW w:w="0" w:type="auto"/>
            <w:vAlign w:val="center"/>
          </w:tcPr>
          <w:p w14:paraId="5F34C86A" w14:textId="4D061C9E" w:rsidR="006C0719" w:rsidRPr="006C0719" w:rsidRDefault="006C0719" w:rsidP="006C0719">
            <w:pPr>
              <w:jc w:val="right"/>
              <w:rPr>
                <w:rFonts w:ascii="Arial" w:hAnsi="Arial" w:cs="Arial"/>
                <w:sz w:val="20"/>
                <w:szCs w:val="20"/>
              </w:rPr>
            </w:pPr>
          </w:p>
        </w:tc>
        <w:tc>
          <w:tcPr>
            <w:tcW w:w="0" w:type="auto"/>
            <w:vAlign w:val="center"/>
          </w:tcPr>
          <w:p w14:paraId="06F974FD" w14:textId="513A84D1" w:rsidR="006C0719" w:rsidRPr="006C0719" w:rsidRDefault="006C0719" w:rsidP="006C0719">
            <w:pPr>
              <w:jc w:val="right"/>
              <w:rPr>
                <w:rFonts w:ascii="Arial" w:hAnsi="Arial" w:cs="Arial"/>
                <w:sz w:val="20"/>
                <w:szCs w:val="20"/>
              </w:rPr>
            </w:pPr>
          </w:p>
        </w:tc>
        <w:tc>
          <w:tcPr>
            <w:tcW w:w="0" w:type="auto"/>
            <w:vAlign w:val="center"/>
          </w:tcPr>
          <w:p w14:paraId="2B09B64C" w14:textId="4E0281CD" w:rsidR="006C0719" w:rsidRPr="006C0719" w:rsidRDefault="006C0719" w:rsidP="006C0719">
            <w:pPr>
              <w:jc w:val="right"/>
              <w:rPr>
                <w:rFonts w:ascii="Arial" w:hAnsi="Arial" w:cs="Arial"/>
                <w:sz w:val="20"/>
                <w:szCs w:val="20"/>
              </w:rPr>
            </w:pPr>
          </w:p>
        </w:tc>
        <w:tc>
          <w:tcPr>
            <w:tcW w:w="0" w:type="auto"/>
            <w:vAlign w:val="center"/>
          </w:tcPr>
          <w:p w14:paraId="2EA357C7" w14:textId="1D2FCE1A" w:rsidR="006C0719" w:rsidRPr="006C0719" w:rsidRDefault="006C0719" w:rsidP="006C0719">
            <w:pPr>
              <w:jc w:val="right"/>
              <w:rPr>
                <w:rFonts w:ascii="Arial" w:hAnsi="Arial" w:cs="Arial"/>
                <w:sz w:val="20"/>
                <w:szCs w:val="20"/>
              </w:rPr>
            </w:pPr>
          </w:p>
        </w:tc>
      </w:tr>
      <w:tr w:rsidR="006C0719" w14:paraId="62149DF5" w14:textId="77777777" w:rsidTr="006C0719">
        <w:tc>
          <w:tcPr>
            <w:tcW w:w="0" w:type="auto"/>
          </w:tcPr>
          <w:p w14:paraId="6CEDFC86"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8.Other</w:t>
            </w:r>
          </w:p>
        </w:tc>
        <w:tc>
          <w:tcPr>
            <w:tcW w:w="0" w:type="auto"/>
            <w:vAlign w:val="center"/>
          </w:tcPr>
          <w:p w14:paraId="00FD82EA" w14:textId="1D3BA417" w:rsidR="006C0719" w:rsidRPr="006C0719" w:rsidRDefault="006C0719" w:rsidP="006C0719">
            <w:pPr>
              <w:jc w:val="right"/>
              <w:rPr>
                <w:rFonts w:ascii="Arial" w:hAnsi="Arial" w:cs="Arial"/>
                <w:sz w:val="20"/>
                <w:szCs w:val="20"/>
              </w:rPr>
            </w:pPr>
          </w:p>
        </w:tc>
        <w:tc>
          <w:tcPr>
            <w:tcW w:w="0" w:type="auto"/>
            <w:vAlign w:val="center"/>
          </w:tcPr>
          <w:p w14:paraId="18940395" w14:textId="7423D1FC" w:rsidR="006C0719" w:rsidRPr="006C0719" w:rsidRDefault="006C0719" w:rsidP="006C0719">
            <w:pPr>
              <w:jc w:val="right"/>
              <w:rPr>
                <w:rFonts w:ascii="Arial" w:hAnsi="Arial" w:cs="Arial"/>
                <w:sz w:val="20"/>
                <w:szCs w:val="20"/>
              </w:rPr>
            </w:pPr>
          </w:p>
        </w:tc>
        <w:tc>
          <w:tcPr>
            <w:tcW w:w="0" w:type="auto"/>
            <w:vAlign w:val="center"/>
          </w:tcPr>
          <w:p w14:paraId="015A23EE" w14:textId="44C5D25B" w:rsidR="006C0719" w:rsidRPr="006C0719" w:rsidRDefault="006C0719" w:rsidP="006C0719">
            <w:pPr>
              <w:jc w:val="right"/>
              <w:rPr>
                <w:rFonts w:ascii="Arial" w:hAnsi="Arial" w:cs="Arial"/>
                <w:sz w:val="20"/>
                <w:szCs w:val="20"/>
              </w:rPr>
            </w:pPr>
          </w:p>
        </w:tc>
        <w:tc>
          <w:tcPr>
            <w:tcW w:w="0" w:type="auto"/>
            <w:vAlign w:val="center"/>
          </w:tcPr>
          <w:p w14:paraId="7A21144C" w14:textId="7E84B94E" w:rsidR="006C0719" w:rsidRPr="006C0719" w:rsidRDefault="006C0719" w:rsidP="006C0719">
            <w:pPr>
              <w:jc w:val="right"/>
              <w:rPr>
                <w:rFonts w:ascii="Arial" w:hAnsi="Arial" w:cs="Arial"/>
                <w:sz w:val="20"/>
                <w:szCs w:val="20"/>
              </w:rPr>
            </w:pPr>
          </w:p>
        </w:tc>
      </w:tr>
      <w:tr w:rsidR="006C0719" w14:paraId="6FCF184A" w14:textId="77777777" w:rsidTr="006C0719">
        <w:tc>
          <w:tcPr>
            <w:tcW w:w="0" w:type="auto"/>
          </w:tcPr>
          <w:p w14:paraId="4BFCB4D1" w14:textId="77777777" w:rsidR="006C0719" w:rsidRPr="007E0A27" w:rsidRDefault="006C0719" w:rsidP="006C0719">
            <w:pPr>
              <w:keepNext/>
              <w:keepLines/>
              <w:rPr>
                <w:rFonts w:ascii="Arial" w:hAnsi="Arial" w:cs="Arial"/>
                <w:b/>
                <w:sz w:val="20"/>
                <w:szCs w:val="20"/>
              </w:rPr>
            </w:pPr>
            <w:r w:rsidRPr="007E0A27">
              <w:rPr>
                <w:rFonts w:ascii="Arial" w:hAnsi="Arial" w:cs="Arial"/>
                <w:b/>
                <w:sz w:val="20"/>
                <w:szCs w:val="20"/>
              </w:rPr>
              <w:t>TOTAL</w:t>
            </w:r>
          </w:p>
        </w:tc>
        <w:tc>
          <w:tcPr>
            <w:tcW w:w="0" w:type="auto"/>
            <w:vAlign w:val="center"/>
          </w:tcPr>
          <w:p w14:paraId="38B19696" w14:textId="46D9095E" w:rsidR="006C0719" w:rsidRPr="006C0719" w:rsidRDefault="006C0719" w:rsidP="006C0719">
            <w:pPr>
              <w:jc w:val="right"/>
              <w:rPr>
                <w:rFonts w:ascii="Arial" w:hAnsi="Arial" w:cs="Arial"/>
                <w:b/>
                <w:sz w:val="20"/>
                <w:szCs w:val="20"/>
              </w:rPr>
            </w:pPr>
            <w:r w:rsidRPr="006C0719">
              <w:rPr>
                <w:rFonts w:ascii="Arial" w:hAnsi="Arial" w:cs="Arial"/>
                <w:b/>
                <w:sz w:val="20"/>
                <w:szCs w:val="20"/>
              </w:rPr>
              <w:t>218</w:t>
            </w:r>
          </w:p>
        </w:tc>
        <w:tc>
          <w:tcPr>
            <w:tcW w:w="0" w:type="auto"/>
            <w:vAlign w:val="center"/>
          </w:tcPr>
          <w:p w14:paraId="0FEAB81C" w14:textId="096B1E17" w:rsidR="006C0719" w:rsidRPr="006C0719" w:rsidRDefault="006C0719" w:rsidP="006C0719">
            <w:pPr>
              <w:jc w:val="right"/>
              <w:rPr>
                <w:rFonts w:ascii="Arial" w:hAnsi="Arial" w:cs="Arial"/>
                <w:b/>
                <w:sz w:val="20"/>
                <w:szCs w:val="20"/>
              </w:rPr>
            </w:pPr>
            <w:r w:rsidRPr="006C0719">
              <w:rPr>
                <w:rFonts w:ascii="Arial" w:hAnsi="Arial" w:cs="Arial"/>
                <w:b/>
                <w:sz w:val="20"/>
                <w:szCs w:val="20"/>
              </w:rPr>
              <w:t>322.6</w:t>
            </w:r>
          </w:p>
        </w:tc>
        <w:tc>
          <w:tcPr>
            <w:tcW w:w="0" w:type="auto"/>
            <w:vAlign w:val="center"/>
          </w:tcPr>
          <w:p w14:paraId="3AA5C5D1" w14:textId="77777777" w:rsidR="006C0719" w:rsidRPr="006C0719" w:rsidRDefault="006C0719" w:rsidP="006C0719">
            <w:pPr>
              <w:jc w:val="right"/>
              <w:rPr>
                <w:rFonts w:ascii="Arial" w:hAnsi="Arial" w:cs="Arial"/>
                <w:b/>
                <w:sz w:val="20"/>
                <w:szCs w:val="20"/>
              </w:rPr>
            </w:pPr>
          </w:p>
        </w:tc>
        <w:tc>
          <w:tcPr>
            <w:tcW w:w="0" w:type="auto"/>
            <w:vAlign w:val="center"/>
          </w:tcPr>
          <w:p w14:paraId="04A2ACE2" w14:textId="32BD110F" w:rsidR="006C0719" w:rsidRPr="006C0719" w:rsidRDefault="006C0719" w:rsidP="006C0719">
            <w:pPr>
              <w:jc w:val="right"/>
              <w:rPr>
                <w:rFonts w:ascii="Arial" w:hAnsi="Arial" w:cs="Arial"/>
                <w:b/>
                <w:sz w:val="20"/>
                <w:szCs w:val="20"/>
              </w:rPr>
            </w:pPr>
            <w:r w:rsidRPr="006C0719">
              <w:rPr>
                <w:rFonts w:ascii="Arial" w:hAnsi="Arial" w:cs="Arial"/>
                <w:b/>
                <w:sz w:val="20"/>
                <w:szCs w:val="20"/>
              </w:rPr>
              <w:t>1.48</w:t>
            </w:r>
          </w:p>
        </w:tc>
      </w:tr>
    </w:tbl>
    <w:p w14:paraId="76E3C5F1" w14:textId="77777777" w:rsidR="007C28F4" w:rsidRDefault="007C28F4" w:rsidP="007C28F4"/>
    <w:p w14:paraId="1B2DA085" w14:textId="67D990DD" w:rsidR="00321E09" w:rsidRPr="007C28F4" w:rsidRDefault="00321E09" w:rsidP="005839AE">
      <w:pPr>
        <w:rPr>
          <w:highlight w:val="yellow"/>
        </w:rPr>
      </w:pPr>
      <w:r w:rsidRPr="00550E7D">
        <w:t>Table 2.2 shows comparable information on B</w:t>
      </w:r>
      <w:r w:rsidR="000E32E6">
        <w:t>I</w:t>
      </w:r>
      <w:r w:rsidRPr="00550E7D">
        <w:t>P enrollment for SCE. SCE’s enrollment in B</w:t>
      </w:r>
      <w:r w:rsidR="000E32E6">
        <w:t>I</w:t>
      </w:r>
      <w:r w:rsidRPr="00550E7D">
        <w:t>P</w:t>
      </w:r>
      <w:r w:rsidR="009012D7" w:rsidRPr="00550E7D">
        <w:t xml:space="preserve"> </w:t>
      </w:r>
      <w:r w:rsidR="000E32E6">
        <w:t xml:space="preserve">was 620 </w:t>
      </w:r>
      <w:r w:rsidR="009012D7" w:rsidRPr="00550E7D">
        <w:t>service accounts</w:t>
      </w:r>
      <w:r w:rsidR="008A1120" w:rsidRPr="00550E7D">
        <w:t xml:space="preserve"> </w:t>
      </w:r>
      <w:r w:rsidR="000E32E6">
        <w:t>on the February 6, 2014 event day</w:t>
      </w:r>
      <w:r w:rsidR="009012D7" w:rsidRPr="00550E7D">
        <w:t xml:space="preserve">, which is a </w:t>
      </w:r>
      <w:r w:rsidR="00805C89">
        <w:t>s</w:t>
      </w:r>
      <w:r w:rsidR="000E32E6">
        <w:t xml:space="preserve">light </w:t>
      </w:r>
      <w:r w:rsidR="00550E7D" w:rsidRPr="00550E7D">
        <w:t>de</w:t>
      </w:r>
      <w:r w:rsidR="009012D7" w:rsidRPr="00550E7D">
        <w:t xml:space="preserve">crease relative to the </w:t>
      </w:r>
      <w:r w:rsidR="000E32E6">
        <w:t xml:space="preserve">646 </w:t>
      </w:r>
      <w:r w:rsidR="009012D7" w:rsidRPr="00550E7D">
        <w:t>enrolled</w:t>
      </w:r>
      <w:r w:rsidR="00B2345B" w:rsidRPr="00550E7D">
        <w:t xml:space="preserve"> service accounts</w:t>
      </w:r>
      <w:r w:rsidRPr="00550E7D">
        <w:t xml:space="preserve"> </w:t>
      </w:r>
      <w:r w:rsidR="000E32E6">
        <w:t xml:space="preserve">during </w:t>
      </w:r>
      <w:r w:rsidR="008A1120" w:rsidRPr="00550E7D">
        <w:t>PY</w:t>
      </w:r>
      <w:r w:rsidRPr="00550E7D">
        <w:t>201</w:t>
      </w:r>
      <w:r w:rsidR="00805C89">
        <w:t>3</w:t>
      </w:r>
      <w:r w:rsidRPr="00550E7D">
        <w:t>.</w:t>
      </w:r>
      <w:r w:rsidR="00D9388E">
        <w:t xml:space="preserve"> </w:t>
      </w:r>
      <w:r w:rsidRPr="00550E7D">
        <w:t xml:space="preserve">These accounted for a total of </w:t>
      </w:r>
      <w:r w:rsidR="00173834">
        <w:t xml:space="preserve">777 </w:t>
      </w:r>
      <w:r w:rsidRPr="00550E7D">
        <w:t xml:space="preserve">MW of maximum demand, or </w:t>
      </w:r>
      <w:r w:rsidR="000E32E6">
        <w:t>1.</w:t>
      </w:r>
      <w:r w:rsidR="00173834">
        <w:t>25</w:t>
      </w:r>
      <w:r w:rsidR="00B2345B" w:rsidRPr="00550E7D">
        <w:t xml:space="preserve"> </w:t>
      </w:r>
      <w:r w:rsidR="009D06AF" w:rsidRPr="00550E7D">
        <w:t xml:space="preserve">MW </w:t>
      </w:r>
      <w:r w:rsidRPr="00550E7D">
        <w:t xml:space="preserve">per service account. Manufacturers make up </w:t>
      </w:r>
      <w:r w:rsidR="000E32E6">
        <w:t xml:space="preserve">about two-thirds </w:t>
      </w:r>
      <w:r w:rsidRPr="00550E7D">
        <w:t xml:space="preserve">of the enrolled load. </w:t>
      </w:r>
      <w:r w:rsidR="00A94317">
        <w:t>Note that portions of the table have been removed due to confidentiality concerns.</w:t>
      </w:r>
      <w:r w:rsidRPr="00550E7D">
        <w:t xml:space="preserve"> </w:t>
      </w:r>
    </w:p>
    <w:p w14:paraId="4073CC6F" w14:textId="77777777" w:rsidR="00321E09" w:rsidRPr="007C28F4" w:rsidRDefault="00321E09" w:rsidP="005839AE">
      <w:pPr>
        <w:rPr>
          <w:highlight w:val="yellow"/>
        </w:rPr>
      </w:pPr>
    </w:p>
    <w:p w14:paraId="3576880E" w14:textId="52D61EBC" w:rsidR="00321E09" w:rsidRPr="00550E7D" w:rsidRDefault="006C0719" w:rsidP="009012D7">
      <w:pPr>
        <w:pStyle w:val="TableCaption"/>
        <w:keepNext/>
        <w:keepLines/>
      </w:pPr>
      <w:bookmarkStart w:id="43" w:name="_Toc226190226"/>
      <w:bookmarkStart w:id="44" w:name="_Toc415489002"/>
      <w:r>
        <w:t xml:space="preserve">Table 2.2: </w:t>
      </w:r>
      <w:r w:rsidR="00321E09" w:rsidRPr="00550E7D">
        <w:t>B</w:t>
      </w:r>
      <w:r>
        <w:t>I</w:t>
      </w:r>
      <w:r w:rsidR="00321E09" w:rsidRPr="00550E7D">
        <w:t>P Enrol</w:t>
      </w:r>
      <w:r w:rsidR="00852320" w:rsidRPr="00550E7D">
        <w:t>lees by Industry G</w:t>
      </w:r>
      <w:r w:rsidR="00321E09" w:rsidRPr="00550E7D">
        <w:t>roup</w:t>
      </w:r>
      <w:r w:rsidR="00E32794" w:rsidRPr="00550E7D">
        <w:t xml:space="preserve">, </w:t>
      </w:r>
      <w:r w:rsidR="00321E09" w:rsidRPr="00550E7D">
        <w:rPr>
          <w:i/>
        </w:rPr>
        <w:t>SCE</w:t>
      </w:r>
      <w:bookmarkEnd w:id="43"/>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2"/>
        <w:gridCol w:w="1844"/>
        <w:gridCol w:w="1345"/>
        <w:gridCol w:w="1216"/>
        <w:gridCol w:w="1159"/>
      </w:tblGrid>
      <w:tr w:rsidR="002921BB" w:rsidRPr="007C28F4" w14:paraId="676EA336" w14:textId="77777777" w:rsidTr="0005199B">
        <w:tc>
          <w:tcPr>
            <w:tcW w:w="0" w:type="auto"/>
            <w:shd w:val="clear" w:color="auto" w:fill="D9E2F3"/>
            <w:vAlign w:val="center"/>
          </w:tcPr>
          <w:p w14:paraId="1F4E50BD" w14:textId="77777777" w:rsidR="002921BB" w:rsidRPr="00550E7D" w:rsidRDefault="002921BB" w:rsidP="009012D7">
            <w:pPr>
              <w:keepNext/>
              <w:keepLines/>
              <w:jc w:val="center"/>
              <w:rPr>
                <w:rFonts w:ascii="Arial" w:hAnsi="Arial" w:cs="Arial"/>
                <w:b/>
                <w:sz w:val="20"/>
                <w:szCs w:val="20"/>
              </w:rPr>
            </w:pPr>
            <w:r w:rsidRPr="00550E7D">
              <w:rPr>
                <w:rFonts w:ascii="Arial" w:hAnsi="Arial" w:cs="Arial"/>
                <w:b/>
                <w:sz w:val="20"/>
                <w:szCs w:val="20"/>
              </w:rPr>
              <w:t>Industry Type</w:t>
            </w:r>
          </w:p>
        </w:tc>
        <w:tc>
          <w:tcPr>
            <w:tcW w:w="0" w:type="auto"/>
            <w:shd w:val="clear" w:color="auto" w:fill="D9E2F3"/>
            <w:vAlign w:val="center"/>
          </w:tcPr>
          <w:p w14:paraId="1A7C195C" w14:textId="77777777" w:rsidR="002921BB" w:rsidRPr="00550E7D" w:rsidRDefault="002921BB" w:rsidP="009012D7">
            <w:pPr>
              <w:keepNext/>
              <w:keepLines/>
              <w:jc w:val="center"/>
              <w:rPr>
                <w:rFonts w:ascii="Arial" w:hAnsi="Arial" w:cs="Arial"/>
                <w:b/>
                <w:sz w:val="20"/>
                <w:szCs w:val="20"/>
              </w:rPr>
            </w:pPr>
            <w:r w:rsidRPr="00550E7D">
              <w:rPr>
                <w:rFonts w:ascii="Arial" w:hAnsi="Arial" w:cs="Arial"/>
                <w:b/>
                <w:sz w:val="20"/>
                <w:szCs w:val="20"/>
              </w:rPr>
              <w:t># of Service Accounts</w:t>
            </w:r>
          </w:p>
        </w:tc>
        <w:tc>
          <w:tcPr>
            <w:tcW w:w="0" w:type="auto"/>
            <w:shd w:val="clear" w:color="auto" w:fill="D9E2F3"/>
            <w:vAlign w:val="center"/>
          </w:tcPr>
          <w:p w14:paraId="25E5A8D4" w14:textId="77777777" w:rsidR="002921BB" w:rsidRPr="00550E7D" w:rsidRDefault="002921BB" w:rsidP="009012D7">
            <w:pPr>
              <w:keepNext/>
              <w:keepLines/>
              <w:jc w:val="center"/>
              <w:rPr>
                <w:rFonts w:ascii="Arial" w:hAnsi="Arial" w:cs="Arial"/>
                <w:b/>
                <w:sz w:val="20"/>
                <w:szCs w:val="20"/>
              </w:rPr>
            </w:pPr>
            <w:r w:rsidRPr="00550E7D">
              <w:rPr>
                <w:rFonts w:ascii="Arial" w:hAnsi="Arial" w:cs="Arial"/>
                <w:b/>
                <w:sz w:val="20"/>
                <w:szCs w:val="20"/>
              </w:rPr>
              <w:t>Sum of Max MW</w:t>
            </w:r>
          </w:p>
        </w:tc>
        <w:tc>
          <w:tcPr>
            <w:tcW w:w="0" w:type="auto"/>
            <w:shd w:val="clear" w:color="auto" w:fill="D9E2F3"/>
            <w:vAlign w:val="center"/>
          </w:tcPr>
          <w:p w14:paraId="768A8EA6" w14:textId="77777777" w:rsidR="002921BB" w:rsidRPr="00550E7D" w:rsidRDefault="002921BB" w:rsidP="009012D7">
            <w:pPr>
              <w:keepNext/>
              <w:keepLines/>
              <w:jc w:val="center"/>
              <w:rPr>
                <w:rFonts w:ascii="Arial" w:hAnsi="Arial" w:cs="Arial"/>
                <w:b/>
                <w:sz w:val="20"/>
                <w:szCs w:val="20"/>
              </w:rPr>
            </w:pPr>
            <w:r w:rsidRPr="00550E7D">
              <w:rPr>
                <w:rFonts w:ascii="Arial" w:hAnsi="Arial" w:cs="Arial"/>
                <w:b/>
                <w:sz w:val="20"/>
                <w:szCs w:val="20"/>
              </w:rPr>
              <w:t>% of Max MW</w:t>
            </w:r>
          </w:p>
        </w:tc>
        <w:tc>
          <w:tcPr>
            <w:tcW w:w="0" w:type="auto"/>
            <w:shd w:val="clear" w:color="auto" w:fill="D9E2F3"/>
            <w:vAlign w:val="center"/>
          </w:tcPr>
          <w:p w14:paraId="3C8F7B01" w14:textId="77777777" w:rsidR="002921BB" w:rsidRPr="00550E7D" w:rsidRDefault="002921BB" w:rsidP="009012D7">
            <w:pPr>
              <w:keepNext/>
              <w:keepLines/>
              <w:jc w:val="center"/>
              <w:rPr>
                <w:rFonts w:ascii="Arial" w:hAnsi="Arial" w:cs="Arial"/>
                <w:b/>
                <w:sz w:val="20"/>
                <w:szCs w:val="20"/>
              </w:rPr>
            </w:pPr>
            <w:r w:rsidRPr="00550E7D">
              <w:rPr>
                <w:rFonts w:ascii="Arial" w:hAnsi="Arial" w:cs="Arial"/>
                <w:b/>
                <w:sz w:val="20"/>
                <w:szCs w:val="20"/>
              </w:rPr>
              <w:t>Ave. Max MW</w:t>
            </w:r>
          </w:p>
        </w:tc>
      </w:tr>
      <w:tr w:rsidR="00173834" w:rsidRPr="007C28F4" w14:paraId="3D084B9C" w14:textId="77777777" w:rsidTr="00173834">
        <w:tc>
          <w:tcPr>
            <w:tcW w:w="0" w:type="auto"/>
          </w:tcPr>
          <w:p w14:paraId="1A784442" w14:textId="77777777" w:rsidR="00173834" w:rsidRPr="00550E7D" w:rsidRDefault="00173834" w:rsidP="00173834">
            <w:pPr>
              <w:keepNext/>
              <w:keepLines/>
              <w:rPr>
                <w:rFonts w:ascii="Arial" w:hAnsi="Arial" w:cs="Arial"/>
                <w:sz w:val="20"/>
                <w:szCs w:val="20"/>
              </w:rPr>
            </w:pPr>
            <w:r w:rsidRPr="00550E7D">
              <w:rPr>
                <w:rFonts w:ascii="Arial" w:hAnsi="Arial" w:cs="Arial"/>
                <w:sz w:val="20"/>
                <w:szCs w:val="20"/>
              </w:rPr>
              <w:t>1.Agriculture, Mining, Construction</w:t>
            </w:r>
          </w:p>
        </w:tc>
        <w:tc>
          <w:tcPr>
            <w:tcW w:w="0" w:type="auto"/>
            <w:vAlign w:val="center"/>
          </w:tcPr>
          <w:p w14:paraId="12DF5233" w14:textId="498D7AC7" w:rsidR="00173834" w:rsidRPr="00173834" w:rsidRDefault="00173834" w:rsidP="00173834">
            <w:pPr>
              <w:jc w:val="right"/>
              <w:rPr>
                <w:rFonts w:ascii="Arial" w:hAnsi="Arial" w:cs="Arial"/>
                <w:sz w:val="20"/>
                <w:szCs w:val="20"/>
              </w:rPr>
            </w:pPr>
            <w:r w:rsidRPr="00173834">
              <w:rPr>
                <w:rFonts w:ascii="Arial" w:hAnsi="Arial" w:cs="Arial"/>
                <w:sz w:val="20"/>
                <w:szCs w:val="20"/>
              </w:rPr>
              <w:t>53</w:t>
            </w:r>
          </w:p>
        </w:tc>
        <w:tc>
          <w:tcPr>
            <w:tcW w:w="0" w:type="auto"/>
            <w:vAlign w:val="center"/>
          </w:tcPr>
          <w:p w14:paraId="1C61272D" w14:textId="07C88C76" w:rsidR="00173834" w:rsidRPr="00173834" w:rsidRDefault="00173834" w:rsidP="00173834">
            <w:pPr>
              <w:jc w:val="right"/>
              <w:rPr>
                <w:rFonts w:ascii="Arial" w:hAnsi="Arial" w:cs="Arial"/>
                <w:sz w:val="20"/>
                <w:szCs w:val="20"/>
              </w:rPr>
            </w:pPr>
            <w:r w:rsidRPr="00173834">
              <w:rPr>
                <w:rFonts w:ascii="Arial" w:hAnsi="Arial" w:cs="Arial"/>
                <w:sz w:val="20"/>
                <w:szCs w:val="20"/>
              </w:rPr>
              <w:t>154.7</w:t>
            </w:r>
          </w:p>
        </w:tc>
        <w:tc>
          <w:tcPr>
            <w:tcW w:w="0" w:type="auto"/>
            <w:vAlign w:val="center"/>
          </w:tcPr>
          <w:p w14:paraId="5628A91C" w14:textId="1905962F" w:rsidR="00173834" w:rsidRPr="00173834" w:rsidRDefault="00173834" w:rsidP="00173834">
            <w:pPr>
              <w:jc w:val="right"/>
              <w:rPr>
                <w:rFonts w:ascii="Arial" w:hAnsi="Arial" w:cs="Arial"/>
                <w:sz w:val="20"/>
                <w:szCs w:val="20"/>
              </w:rPr>
            </w:pPr>
            <w:r w:rsidRPr="00173834">
              <w:rPr>
                <w:rFonts w:ascii="Arial" w:hAnsi="Arial" w:cs="Arial"/>
                <w:sz w:val="20"/>
                <w:szCs w:val="20"/>
              </w:rPr>
              <w:t>19.9%</w:t>
            </w:r>
          </w:p>
        </w:tc>
        <w:tc>
          <w:tcPr>
            <w:tcW w:w="0" w:type="auto"/>
            <w:vAlign w:val="center"/>
          </w:tcPr>
          <w:p w14:paraId="70EC871D" w14:textId="116E7EB2" w:rsidR="00173834" w:rsidRPr="00173834" w:rsidRDefault="00173834" w:rsidP="00173834">
            <w:pPr>
              <w:jc w:val="right"/>
              <w:rPr>
                <w:rFonts w:ascii="Arial" w:hAnsi="Arial" w:cs="Arial"/>
                <w:sz w:val="20"/>
                <w:szCs w:val="20"/>
              </w:rPr>
            </w:pPr>
            <w:r w:rsidRPr="00173834">
              <w:rPr>
                <w:rFonts w:ascii="Arial" w:hAnsi="Arial" w:cs="Arial"/>
                <w:sz w:val="20"/>
                <w:szCs w:val="20"/>
              </w:rPr>
              <w:t>2.92</w:t>
            </w:r>
          </w:p>
        </w:tc>
      </w:tr>
      <w:tr w:rsidR="00173834" w:rsidRPr="007C28F4" w14:paraId="169FC32E" w14:textId="77777777" w:rsidTr="00173834">
        <w:tc>
          <w:tcPr>
            <w:tcW w:w="0" w:type="auto"/>
          </w:tcPr>
          <w:p w14:paraId="0249850E" w14:textId="77777777" w:rsidR="00173834" w:rsidRPr="00550E7D" w:rsidRDefault="00173834" w:rsidP="00173834">
            <w:pPr>
              <w:keepNext/>
              <w:keepLines/>
              <w:rPr>
                <w:rFonts w:ascii="Arial" w:hAnsi="Arial" w:cs="Arial"/>
                <w:sz w:val="20"/>
                <w:szCs w:val="20"/>
              </w:rPr>
            </w:pPr>
            <w:r w:rsidRPr="00550E7D">
              <w:rPr>
                <w:rFonts w:ascii="Arial" w:hAnsi="Arial" w:cs="Arial"/>
                <w:sz w:val="20"/>
                <w:szCs w:val="20"/>
              </w:rPr>
              <w:t>2.Manufacturing</w:t>
            </w:r>
          </w:p>
        </w:tc>
        <w:tc>
          <w:tcPr>
            <w:tcW w:w="0" w:type="auto"/>
            <w:vAlign w:val="center"/>
          </w:tcPr>
          <w:p w14:paraId="59821458" w14:textId="16C894D9" w:rsidR="00173834" w:rsidRPr="00173834" w:rsidRDefault="00173834" w:rsidP="00173834">
            <w:pPr>
              <w:jc w:val="right"/>
              <w:rPr>
                <w:rFonts w:ascii="Arial" w:hAnsi="Arial" w:cs="Arial"/>
                <w:sz w:val="20"/>
                <w:szCs w:val="20"/>
              </w:rPr>
            </w:pPr>
            <w:r w:rsidRPr="00173834">
              <w:rPr>
                <w:rFonts w:ascii="Arial" w:hAnsi="Arial" w:cs="Arial"/>
                <w:sz w:val="20"/>
                <w:szCs w:val="20"/>
              </w:rPr>
              <w:t>353</w:t>
            </w:r>
          </w:p>
        </w:tc>
        <w:tc>
          <w:tcPr>
            <w:tcW w:w="0" w:type="auto"/>
            <w:vAlign w:val="center"/>
          </w:tcPr>
          <w:p w14:paraId="6E535EE4" w14:textId="144BA33F" w:rsidR="00173834" w:rsidRPr="00173834" w:rsidRDefault="00173834" w:rsidP="00173834">
            <w:pPr>
              <w:jc w:val="right"/>
              <w:rPr>
                <w:rFonts w:ascii="Arial" w:hAnsi="Arial" w:cs="Arial"/>
                <w:sz w:val="20"/>
                <w:szCs w:val="20"/>
              </w:rPr>
            </w:pPr>
            <w:r w:rsidRPr="00173834">
              <w:rPr>
                <w:rFonts w:ascii="Arial" w:hAnsi="Arial" w:cs="Arial"/>
                <w:sz w:val="20"/>
                <w:szCs w:val="20"/>
              </w:rPr>
              <w:t>506.5</w:t>
            </w:r>
          </w:p>
        </w:tc>
        <w:tc>
          <w:tcPr>
            <w:tcW w:w="0" w:type="auto"/>
            <w:vAlign w:val="center"/>
          </w:tcPr>
          <w:p w14:paraId="0F6C4964" w14:textId="212ED9D4" w:rsidR="00173834" w:rsidRPr="00173834" w:rsidRDefault="00173834" w:rsidP="00173834">
            <w:pPr>
              <w:jc w:val="right"/>
              <w:rPr>
                <w:rFonts w:ascii="Arial" w:hAnsi="Arial" w:cs="Arial"/>
                <w:sz w:val="20"/>
                <w:szCs w:val="20"/>
              </w:rPr>
            </w:pPr>
            <w:r w:rsidRPr="00173834">
              <w:rPr>
                <w:rFonts w:ascii="Arial" w:hAnsi="Arial" w:cs="Arial"/>
                <w:sz w:val="20"/>
                <w:szCs w:val="20"/>
              </w:rPr>
              <w:t>65.2%</w:t>
            </w:r>
          </w:p>
        </w:tc>
        <w:tc>
          <w:tcPr>
            <w:tcW w:w="0" w:type="auto"/>
            <w:vAlign w:val="center"/>
          </w:tcPr>
          <w:p w14:paraId="48483ED8" w14:textId="202B7FE7" w:rsidR="00173834" w:rsidRPr="00173834" w:rsidRDefault="00173834" w:rsidP="00173834">
            <w:pPr>
              <w:jc w:val="right"/>
              <w:rPr>
                <w:rFonts w:ascii="Arial" w:hAnsi="Arial" w:cs="Arial"/>
                <w:sz w:val="20"/>
                <w:szCs w:val="20"/>
              </w:rPr>
            </w:pPr>
            <w:r w:rsidRPr="00173834">
              <w:rPr>
                <w:rFonts w:ascii="Arial" w:hAnsi="Arial" w:cs="Arial"/>
                <w:sz w:val="20"/>
                <w:szCs w:val="20"/>
              </w:rPr>
              <w:t>1.43</w:t>
            </w:r>
          </w:p>
        </w:tc>
      </w:tr>
      <w:tr w:rsidR="00173834" w:rsidRPr="007C28F4" w14:paraId="3F5C9800" w14:textId="77777777" w:rsidTr="00173834">
        <w:tc>
          <w:tcPr>
            <w:tcW w:w="0" w:type="auto"/>
          </w:tcPr>
          <w:p w14:paraId="0A0F85F8" w14:textId="77777777" w:rsidR="00173834" w:rsidRPr="00550E7D" w:rsidRDefault="00173834" w:rsidP="00173834">
            <w:pPr>
              <w:keepNext/>
              <w:keepLines/>
              <w:rPr>
                <w:rFonts w:ascii="Arial" w:hAnsi="Arial" w:cs="Arial"/>
                <w:sz w:val="20"/>
                <w:szCs w:val="20"/>
              </w:rPr>
            </w:pPr>
            <w:r w:rsidRPr="00550E7D">
              <w:rPr>
                <w:rFonts w:ascii="Arial" w:hAnsi="Arial" w:cs="Arial"/>
                <w:sz w:val="20"/>
                <w:szCs w:val="20"/>
              </w:rPr>
              <w:t>3.Wholesale, Transportation, Utilities</w:t>
            </w:r>
          </w:p>
        </w:tc>
        <w:tc>
          <w:tcPr>
            <w:tcW w:w="0" w:type="auto"/>
            <w:vAlign w:val="center"/>
          </w:tcPr>
          <w:p w14:paraId="10932ECC" w14:textId="248092BB" w:rsidR="00173834" w:rsidRPr="00173834" w:rsidRDefault="00173834" w:rsidP="00173834">
            <w:pPr>
              <w:jc w:val="right"/>
              <w:rPr>
                <w:rFonts w:ascii="Arial" w:hAnsi="Arial" w:cs="Arial"/>
                <w:sz w:val="20"/>
                <w:szCs w:val="20"/>
              </w:rPr>
            </w:pPr>
            <w:r w:rsidRPr="00173834">
              <w:rPr>
                <w:rFonts w:ascii="Arial" w:hAnsi="Arial" w:cs="Arial"/>
                <w:sz w:val="20"/>
                <w:szCs w:val="20"/>
              </w:rPr>
              <w:t>68</w:t>
            </w:r>
          </w:p>
        </w:tc>
        <w:tc>
          <w:tcPr>
            <w:tcW w:w="0" w:type="auto"/>
            <w:vAlign w:val="center"/>
          </w:tcPr>
          <w:p w14:paraId="79770852" w14:textId="0B4A9495" w:rsidR="00173834" w:rsidRPr="00173834" w:rsidRDefault="00173834" w:rsidP="00173834">
            <w:pPr>
              <w:jc w:val="right"/>
              <w:rPr>
                <w:rFonts w:ascii="Arial" w:hAnsi="Arial" w:cs="Arial"/>
                <w:sz w:val="20"/>
                <w:szCs w:val="20"/>
              </w:rPr>
            </w:pPr>
            <w:r w:rsidRPr="00173834">
              <w:rPr>
                <w:rFonts w:ascii="Arial" w:hAnsi="Arial" w:cs="Arial"/>
                <w:sz w:val="20"/>
                <w:szCs w:val="20"/>
              </w:rPr>
              <w:t>48.6</w:t>
            </w:r>
          </w:p>
        </w:tc>
        <w:tc>
          <w:tcPr>
            <w:tcW w:w="0" w:type="auto"/>
            <w:vAlign w:val="center"/>
          </w:tcPr>
          <w:p w14:paraId="6687252D" w14:textId="0246D028" w:rsidR="00173834" w:rsidRPr="00173834" w:rsidRDefault="00173834" w:rsidP="00173834">
            <w:pPr>
              <w:jc w:val="right"/>
              <w:rPr>
                <w:rFonts w:ascii="Arial" w:hAnsi="Arial" w:cs="Arial"/>
                <w:sz w:val="20"/>
                <w:szCs w:val="20"/>
              </w:rPr>
            </w:pPr>
            <w:r w:rsidRPr="00173834">
              <w:rPr>
                <w:rFonts w:ascii="Arial" w:hAnsi="Arial" w:cs="Arial"/>
                <w:sz w:val="20"/>
                <w:szCs w:val="20"/>
              </w:rPr>
              <w:t>6.3%</w:t>
            </w:r>
          </w:p>
        </w:tc>
        <w:tc>
          <w:tcPr>
            <w:tcW w:w="0" w:type="auto"/>
            <w:vAlign w:val="center"/>
          </w:tcPr>
          <w:p w14:paraId="69AA250F" w14:textId="7A10C584" w:rsidR="00173834" w:rsidRPr="00173834" w:rsidRDefault="00173834" w:rsidP="00173834">
            <w:pPr>
              <w:jc w:val="right"/>
              <w:rPr>
                <w:rFonts w:ascii="Arial" w:hAnsi="Arial" w:cs="Arial"/>
                <w:sz w:val="20"/>
                <w:szCs w:val="20"/>
              </w:rPr>
            </w:pPr>
            <w:r w:rsidRPr="00173834">
              <w:rPr>
                <w:rFonts w:ascii="Arial" w:hAnsi="Arial" w:cs="Arial"/>
                <w:sz w:val="20"/>
                <w:szCs w:val="20"/>
              </w:rPr>
              <w:t>0.71</w:t>
            </w:r>
          </w:p>
        </w:tc>
      </w:tr>
      <w:tr w:rsidR="00173834" w:rsidRPr="007C28F4" w14:paraId="588005BD" w14:textId="77777777" w:rsidTr="00173834">
        <w:tc>
          <w:tcPr>
            <w:tcW w:w="0" w:type="auto"/>
          </w:tcPr>
          <w:p w14:paraId="5E4012E3" w14:textId="77777777" w:rsidR="00173834" w:rsidRPr="00550E7D" w:rsidRDefault="00173834" w:rsidP="00173834">
            <w:pPr>
              <w:keepNext/>
              <w:keepLines/>
              <w:rPr>
                <w:rFonts w:ascii="Arial" w:hAnsi="Arial" w:cs="Arial"/>
                <w:sz w:val="20"/>
                <w:szCs w:val="20"/>
              </w:rPr>
            </w:pPr>
            <w:r w:rsidRPr="00550E7D">
              <w:rPr>
                <w:rFonts w:ascii="Arial" w:hAnsi="Arial" w:cs="Arial"/>
                <w:sz w:val="20"/>
                <w:szCs w:val="20"/>
              </w:rPr>
              <w:t>4.Retail</w:t>
            </w:r>
          </w:p>
        </w:tc>
        <w:tc>
          <w:tcPr>
            <w:tcW w:w="0" w:type="auto"/>
            <w:vAlign w:val="center"/>
          </w:tcPr>
          <w:p w14:paraId="5B2174F7" w14:textId="06BD2B7D" w:rsidR="00173834" w:rsidRPr="00173834" w:rsidRDefault="00173834" w:rsidP="00173834">
            <w:pPr>
              <w:jc w:val="right"/>
              <w:rPr>
                <w:rFonts w:ascii="Arial" w:hAnsi="Arial" w:cs="Arial"/>
                <w:sz w:val="20"/>
                <w:szCs w:val="20"/>
              </w:rPr>
            </w:pPr>
            <w:r w:rsidRPr="00173834">
              <w:rPr>
                <w:rFonts w:ascii="Arial" w:hAnsi="Arial" w:cs="Arial"/>
                <w:sz w:val="20"/>
                <w:szCs w:val="20"/>
              </w:rPr>
              <w:t>40</w:t>
            </w:r>
          </w:p>
        </w:tc>
        <w:tc>
          <w:tcPr>
            <w:tcW w:w="0" w:type="auto"/>
            <w:vAlign w:val="center"/>
          </w:tcPr>
          <w:p w14:paraId="2D911427" w14:textId="2A167969" w:rsidR="00173834" w:rsidRPr="00173834" w:rsidRDefault="00173834" w:rsidP="00173834">
            <w:pPr>
              <w:jc w:val="right"/>
              <w:rPr>
                <w:rFonts w:ascii="Arial" w:hAnsi="Arial" w:cs="Arial"/>
                <w:sz w:val="20"/>
                <w:szCs w:val="20"/>
              </w:rPr>
            </w:pPr>
            <w:r w:rsidRPr="00173834">
              <w:rPr>
                <w:rFonts w:ascii="Arial" w:hAnsi="Arial" w:cs="Arial"/>
                <w:sz w:val="20"/>
                <w:szCs w:val="20"/>
              </w:rPr>
              <w:t>16.0</w:t>
            </w:r>
          </w:p>
        </w:tc>
        <w:tc>
          <w:tcPr>
            <w:tcW w:w="0" w:type="auto"/>
            <w:vAlign w:val="center"/>
          </w:tcPr>
          <w:p w14:paraId="31BEEFA4" w14:textId="1C567B1A" w:rsidR="00173834" w:rsidRPr="00173834" w:rsidRDefault="00173834" w:rsidP="00173834">
            <w:pPr>
              <w:jc w:val="right"/>
              <w:rPr>
                <w:rFonts w:ascii="Arial" w:hAnsi="Arial" w:cs="Arial"/>
                <w:sz w:val="20"/>
                <w:szCs w:val="20"/>
              </w:rPr>
            </w:pPr>
            <w:r w:rsidRPr="00173834">
              <w:rPr>
                <w:rFonts w:ascii="Arial" w:hAnsi="Arial" w:cs="Arial"/>
                <w:sz w:val="20"/>
                <w:szCs w:val="20"/>
              </w:rPr>
              <w:t>2.1%</w:t>
            </w:r>
          </w:p>
        </w:tc>
        <w:tc>
          <w:tcPr>
            <w:tcW w:w="0" w:type="auto"/>
            <w:vAlign w:val="center"/>
          </w:tcPr>
          <w:p w14:paraId="04FC2765" w14:textId="45B36C70" w:rsidR="00173834" w:rsidRPr="00173834" w:rsidRDefault="00173834" w:rsidP="00173834">
            <w:pPr>
              <w:jc w:val="right"/>
              <w:rPr>
                <w:rFonts w:ascii="Arial" w:hAnsi="Arial" w:cs="Arial"/>
                <w:sz w:val="20"/>
                <w:szCs w:val="20"/>
              </w:rPr>
            </w:pPr>
            <w:r w:rsidRPr="00173834">
              <w:rPr>
                <w:rFonts w:ascii="Arial" w:hAnsi="Arial" w:cs="Arial"/>
                <w:sz w:val="20"/>
                <w:szCs w:val="20"/>
              </w:rPr>
              <w:t>0.40</w:t>
            </w:r>
          </w:p>
        </w:tc>
      </w:tr>
      <w:tr w:rsidR="00173834" w:rsidRPr="007C28F4" w14:paraId="048EDEDF" w14:textId="77777777" w:rsidTr="00173834">
        <w:tc>
          <w:tcPr>
            <w:tcW w:w="0" w:type="auto"/>
            <w:vAlign w:val="center"/>
          </w:tcPr>
          <w:p w14:paraId="4268F867" w14:textId="77777777" w:rsidR="00173834" w:rsidRPr="00550E7D" w:rsidRDefault="00173834" w:rsidP="00173834">
            <w:pPr>
              <w:keepNext/>
              <w:keepLines/>
              <w:rPr>
                <w:rFonts w:ascii="Arial" w:hAnsi="Arial" w:cs="Arial"/>
                <w:sz w:val="20"/>
                <w:szCs w:val="20"/>
              </w:rPr>
            </w:pPr>
            <w:r w:rsidRPr="00550E7D">
              <w:rPr>
                <w:rFonts w:ascii="Arial" w:hAnsi="Arial" w:cs="Arial"/>
                <w:sz w:val="20"/>
                <w:szCs w:val="20"/>
              </w:rPr>
              <w:t>5.Offices, Hotels, Health, Services</w:t>
            </w:r>
          </w:p>
        </w:tc>
        <w:tc>
          <w:tcPr>
            <w:tcW w:w="0" w:type="auto"/>
            <w:vAlign w:val="center"/>
          </w:tcPr>
          <w:p w14:paraId="500E71F7" w14:textId="51CF627E" w:rsidR="00173834" w:rsidRPr="00173834" w:rsidRDefault="00173834" w:rsidP="00173834">
            <w:pPr>
              <w:jc w:val="right"/>
              <w:rPr>
                <w:rFonts w:ascii="Arial" w:hAnsi="Arial" w:cs="Arial"/>
                <w:sz w:val="20"/>
                <w:szCs w:val="20"/>
              </w:rPr>
            </w:pPr>
          </w:p>
        </w:tc>
        <w:tc>
          <w:tcPr>
            <w:tcW w:w="0" w:type="auto"/>
            <w:vAlign w:val="center"/>
          </w:tcPr>
          <w:p w14:paraId="5536F5CF" w14:textId="1BB6E081" w:rsidR="00173834" w:rsidRPr="00173834" w:rsidRDefault="00173834" w:rsidP="00173834">
            <w:pPr>
              <w:jc w:val="right"/>
              <w:rPr>
                <w:rFonts w:ascii="Arial" w:hAnsi="Arial" w:cs="Arial"/>
                <w:sz w:val="20"/>
                <w:szCs w:val="20"/>
              </w:rPr>
            </w:pPr>
          </w:p>
        </w:tc>
        <w:tc>
          <w:tcPr>
            <w:tcW w:w="0" w:type="auto"/>
            <w:vAlign w:val="center"/>
          </w:tcPr>
          <w:p w14:paraId="3880E150" w14:textId="521571AD" w:rsidR="00173834" w:rsidRPr="00173834" w:rsidRDefault="00173834" w:rsidP="00173834">
            <w:pPr>
              <w:jc w:val="right"/>
              <w:rPr>
                <w:rFonts w:ascii="Arial" w:hAnsi="Arial" w:cs="Arial"/>
                <w:sz w:val="20"/>
                <w:szCs w:val="20"/>
              </w:rPr>
            </w:pPr>
          </w:p>
        </w:tc>
        <w:tc>
          <w:tcPr>
            <w:tcW w:w="0" w:type="auto"/>
            <w:vAlign w:val="center"/>
          </w:tcPr>
          <w:p w14:paraId="43508F1B" w14:textId="61429330" w:rsidR="00173834" w:rsidRPr="00173834" w:rsidRDefault="00173834" w:rsidP="00173834">
            <w:pPr>
              <w:jc w:val="right"/>
              <w:rPr>
                <w:rFonts w:ascii="Arial" w:hAnsi="Arial" w:cs="Arial"/>
                <w:sz w:val="20"/>
                <w:szCs w:val="20"/>
              </w:rPr>
            </w:pPr>
          </w:p>
        </w:tc>
      </w:tr>
      <w:tr w:rsidR="00173834" w:rsidRPr="007C28F4" w14:paraId="6F3AB584" w14:textId="77777777" w:rsidTr="00173834">
        <w:tc>
          <w:tcPr>
            <w:tcW w:w="0" w:type="auto"/>
          </w:tcPr>
          <w:p w14:paraId="7808BF3D" w14:textId="77777777" w:rsidR="00173834" w:rsidRPr="00550E7D" w:rsidRDefault="00173834" w:rsidP="00173834">
            <w:pPr>
              <w:keepNext/>
              <w:keepLines/>
              <w:rPr>
                <w:rFonts w:ascii="Arial" w:hAnsi="Arial" w:cs="Arial"/>
                <w:sz w:val="20"/>
                <w:szCs w:val="20"/>
              </w:rPr>
            </w:pPr>
            <w:r w:rsidRPr="00550E7D">
              <w:rPr>
                <w:rFonts w:ascii="Arial" w:hAnsi="Arial" w:cs="Arial"/>
                <w:sz w:val="20"/>
                <w:szCs w:val="20"/>
              </w:rPr>
              <w:t>6.Schools</w:t>
            </w:r>
          </w:p>
        </w:tc>
        <w:tc>
          <w:tcPr>
            <w:tcW w:w="0" w:type="auto"/>
            <w:vAlign w:val="center"/>
          </w:tcPr>
          <w:p w14:paraId="029D8A24" w14:textId="3CE02218" w:rsidR="00173834" w:rsidRPr="00173834" w:rsidRDefault="00173834" w:rsidP="00173834">
            <w:pPr>
              <w:jc w:val="right"/>
              <w:rPr>
                <w:rFonts w:ascii="Arial" w:hAnsi="Arial" w:cs="Arial"/>
                <w:sz w:val="20"/>
                <w:szCs w:val="20"/>
              </w:rPr>
            </w:pPr>
            <w:r w:rsidRPr="00173834">
              <w:rPr>
                <w:rFonts w:ascii="Arial" w:hAnsi="Arial" w:cs="Arial"/>
                <w:sz w:val="20"/>
                <w:szCs w:val="20"/>
              </w:rPr>
              <w:t>68</w:t>
            </w:r>
          </w:p>
        </w:tc>
        <w:tc>
          <w:tcPr>
            <w:tcW w:w="0" w:type="auto"/>
            <w:vAlign w:val="center"/>
          </w:tcPr>
          <w:p w14:paraId="70C927AB" w14:textId="0486B6D7" w:rsidR="00173834" w:rsidRPr="00173834" w:rsidRDefault="00173834" w:rsidP="00173834">
            <w:pPr>
              <w:jc w:val="right"/>
              <w:rPr>
                <w:rFonts w:ascii="Arial" w:hAnsi="Arial" w:cs="Arial"/>
                <w:sz w:val="20"/>
                <w:szCs w:val="20"/>
              </w:rPr>
            </w:pPr>
            <w:r w:rsidRPr="00173834">
              <w:rPr>
                <w:rFonts w:ascii="Arial" w:hAnsi="Arial" w:cs="Arial"/>
                <w:sz w:val="20"/>
                <w:szCs w:val="20"/>
              </w:rPr>
              <w:t>22.8</w:t>
            </w:r>
          </w:p>
        </w:tc>
        <w:tc>
          <w:tcPr>
            <w:tcW w:w="0" w:type="auto"/>
            <w:vAlign w:val="center"/>
          </w:tcPr>
          <w:p w14:paraId="7003CBD9" w14:textId="719069C3" w:rsidR="00173834" w:rsidRPr="00173834" w:rsidRDefault="00173834" w:rsidP="00173834">
            <w:pPr>
              <w:jc w:val="right"/>
              <w:rPr>
                <w:rFonts w:ascii="Arial" w:hAnsi="Arial" w:cs="Arial"/>
                <w:sz w:val="20"/>
                <w:szCs w:val="20"/>
              </w:rPr>
            </w:pPr>
            <w:r w:rsidRPr="00173834">
              <w:rPr>
                <w:rFonts w:ascii="Arial" w:hAnsi="Arial" w:cs="Arial"/>
                <w:sz w:val="20"/>
                <w:szCs w:val="20"/>
              </w:rPr>
              <w:t>2.9%</w:t>
            </w:r>
          </w:p>
        </w:tc>
        <w:tc>
          <w:tcPr>
            <w:tcW w:w="0" w:type="auto"/>
            <w:vAlign w:val="center"/>
          </w:tcPr>
          <w:p w14:paraId="5CB036FF" w14:textId="5D805535" w:rsidR="00173834" w:rsidRPr="00173834" w:rsidRDefault="00173834" w:rsidP="00173834">
            <w:pPr>
              <w:jc w:val="right"/>
              <w:rPr>
                <w:rFonts w:ascii="Arial" w:hAnsi="Arial" w:cs="Arial"/>
                <w:sz w:val="20"/>
                <w:szCs w:val="20"/>
              </w:rPr>
            </w:pPr>
            <w:r w:rsidRPr="00173834">
              <w:rPr>
                <w:rFonts w:ascii="Arial" w:hAnsi="Arial" w:cs="Arial"/>
                <w:sz w:val="20"/>
                <w:szCs w:val="20"/>
              </w:rPr>
              <w:t>0.34</w:t>
            </w:r>
          </w:p>
        </w:tc>
      </w:tr>
      <w:tr w:rsidR="00173834" w:rsidRPr="007C28F4" w14:paraId="4551C0AE" w14:textId="77777777" w:rsidTr="00173834">
        <w:tc>
          <w:tcPr>
            <w:tcW w:w="0" w:type="auto"/>
          </w:tcPr>
          <w:p w14:paraId="3A5283D6" w14:textId="77777777" w:rsidR="00173834" w:rsidRPr="00550E7D" w:rsidRDefault="00173834" w:rsidP="00173834">
            <w:pPr>
              <w:keepNext/>
              <w:keepLines/>
              <w:rPr>
                <w:rFonts w:ascii="Arial" w:hAnsi="Arial" w:cs="Arial"/>
                <w:sz w:val="20"/>
                <w:szCs w:val="20"/>
              </w:rPr>
            </w:pPr>
            <w:r w:rsidRPr="00550E7D">
              <w:rPr>
                <w:rFonts w:ascii="Arial" w:hAnsi="Arial" w:cs="Arial"/>
                <w:sz w:val="20"/>
                <w:szCs w:val="20"/>
              </w:rPr>
              <w:t>7.Entertainment, Other Services, Government.</w:t>
            </w:r>
          </w:p>
        </w:tc>
        <w:tc>
          <w:tcPr>
            <w:tcW w:w="0" w:type="auto"/>
            <w:vAlign w:val="center"/>
          </w:tcPr>
          <w:p w14:paraId="0A987E64" w14:textId="34314576" w:rsidR="00173834" w:rsidRPr="00173834" w:rsidRDefault="00173834" w:rsidP="00173834">
            <w:pPr>
              <w:jc w:val="right"/>
              <w:rPr>
                <w:rFonts w:ascii="Arial" w:hAnsi="Arial" w:cs="Arial"/>
                <w:sz w:val="20"/>
                <w:szCs w:val="20"/>
              </w:rPr>
            </w:pPr>
          </w:p>
        </w:tc>
        <w:tc>
          <w:tcPr>
            <w:tcW w:w="0" w:type="auto"/>
            <w:vAlign w:val="center"/>
          </w:tcPr>
          <w:p w14:paraId="1735670C" w14:textId="2A1CF6B5" w:rsidR="00173834" w:rsidRPr="00173834" w:rsidRDefault="00173834" w:rsidP="00173834">
            <w:pPr>
              <w:jc w:val="right"/>
              <w:rPr>
                <w:rFonts w:ascii="Arial" w:hAnsi="Arial" w:cs="Arial"/>
                <w:sz w:val="20"/>
                <w:szCs w:val="20"/>
              </w:rPr>
            </w:pPr>
          </w:p>
        </w:tc>
        <w:tc>
          <w:tcPr>
            <w:tcW w:w="0" w:type="auto"/>
            <w:vAlign w:val="center"/>
          </w:tcPr>
          <w:p w14:paraId="76BEEAFB" w14:textId="67AB1A4D" w:rsidR="00173834" w:rsidRPr="00173834" w:rsidRDefault="00173834" w:rsidP="00173834">
            <w:pPr>
              <w:jc w:val="right"/>
              <w:rPr>
                <w:rFonts w:ascii="Arial" w:hAnsi="Arial" w:cs="Arial"/>
                <w:sz w:val="20"/>
                <w:szCs w:val="20"/>
              </w:rPr>
            </w:pPr>
          </w:p>
        </w:tc>
        <w:tc>
          <w:tcPr>
            <w:tcW w:w="0" w:type="auto"/>
            <w:vAlign w:val="center"/>
          </w:tcPr>
          <w:p w14:paraId="1549A529" w14:textId="20974E7F" w:rsidR="00173834" w:rsidRPr="00173834" w:rsidRDefault="00173834" w:rsidP="00173834">
            <w:pPr>
              <w:jc w:val="right"/>
              <w:rPr>
                <w:rFonts w:ascii="Arial" w:hAnsi="Arial" w:cs="Arial"/>
                <w:sz w:val="20"/>
                <w:szCs w:val="20"/>
              </w:rPr>
            </w:pPr>
          </w:p>
        </w:tc>
      </w:tr>
      <w:tr w:rsidR="00173834" w:rsidRPr="00846569" w14:paraId="74AD20CE" w14:textId="77777777" w:rsidTr="00173834">
        <w:tc>
          <w:tcPr>
            <w:tcW w:w="0" w:type="auto"/>
          </w:tcPr>
          <w:p w14:paraId="6C59A22F" w14:textId="77777777" w:rsidR="00173834" w:rsidRPr="00550E7D" w:rsidRDefault="00173834" w:rsidP="00173834">
            <w:pPr>
              <w:keepNext/>
              <w:keepLines/>
              <w:rPr>
                <w:rFonts w:ascii="Arial" w:hAnsi="Arial" w:cs="Arial"/>
                <w:b/>
                <w:sz w:val="20"/>
                <w:szCs w:val="20"/>
              </w:rPr>
            </w:pPr>
            <w:r w:rsidRPr="00550E7D">
              <w:rPr>
                <w:rFonts w:ascii="Arial" w:hAnsi="Arial" w:cs="Arial"/>
                <w:b/>
                <w:sz w:val="20"/>
                <w:szCs w:val="20"/>
              </w:rPr>
              <w:t>TOTAL</w:t>
            </w:r>
          </w:p>
        </w:tc>
        <w:tc>
          <w:tcPr>
            <w:tcW w:w="0" w:type="auto"/>
            <w:vAlign w:val="center"/>
          </w:tcPr>
          <w:p w14:paraId="45AFD026" w14:textId="47FB7523" w:rsidR="00173834" w:rsidRPr="00173834" w:rsidRDefault="00173834" w:rsidP="00173834">
            <w:pPr>
              <w:jc w:val="right"/>
              <w:rPr>
                <w:rFonts w:ascii="Arial" w:hAnsi="Arial" w:cs="Arial"/>
                <w:b/>
                <w:sz w:val="20"/>
                <w:szCs w:val="20"/>
              </w:rPr>
            </w:pPr>
            <w:r w:rsidRPr="00173834">
              <w:rPr>
                <w:rFonts w:ascii="Arial" w:hAnsi="Arial" w:cs="Arial"/>
                <w:b/>
                <w:sz w:val="20"/>
                <w:szCs w:val="20"/>
              </w:rPr>
              <w:t>620</w:t>
            </w:r>
          </w:p>
        </w:tc>
        <w:tc>
          <w:tcPr>
            <w:tcW w:w="0" w:type="auto"/>
            <w:vAlign w:val="center"/>
          </w:tcPr>
          <w:p w14:paraId="04D10B03" w14:textId="13C73D43" w:rsidR="00173834" w:rsidRPr="00173834" w:rsidRDefault="00173834" w:rsidP="00173834">
            <w:pPr>
              <w:jc w:val="right"/>
              <w:rPr>
                <w:rFonts w:ascii="Arial" w:hAnsi="Arial" w:cs="Arial"/>
                <w:b/>
                <w:sz w:val="20"/>
                <w:szCs w:val="20"/>
              </w:rPr>
            </w:pPr>
            <w:r w:rsidRPr="00173834">
              <w:rPr>
                <w:rFonts w:ascii="Arial" w:hAnsi="Arial" w:cs="Arial"/>
                <w:b/>
                <w:sz w:val="20"/>
                <w:szCs w:val="20"/>
              </w:rPr>
              <w:t>777.3</w:t>
            </w:r>
          </w:p>
        </w:tc>
        <w:tc>
          <w:tcPr>
            <w:tcW w:w="0" w:type="auto"/>
            <w:vAlign w:val="center"/>
          </w:tcPr>
          <w:p w14:paraId="62A03752" w14:textId="77777777" w:rsidR="00173834" w:rsidRPr="00173834" w:rsidRDefault="00173834" w:rsidP="00173834">
            <w:pPr>
              <w:jc w:val="right"/>
              <w:rPr>
                <w:rFonts w:ascii="Arial" w:hAnsi="Arial" w:cs="Arial"/>
                <w:b/>
                <w:sz w:val="20"/>
                <w:szCs w:val="20"/>
              </w:rPr>
            </w:pPr>
          </w:p>
        </w:tc>
        <w:tc>
          <w:tcPr>
            <w:tcW w:w="0" w:type="auto"/>
            <w:vAlign w:val="center"/>
          </w:tcPr>
          <w:p w14:paraId="37773EB3" w14:textId="7789D3D9" w:rsidR="00173834" w:rsidRPr="00173834" w:rsidRDefault="00173834" w:rsidP="00173834">
            <w:pPr>
              <w:jc w:val="right"/>
              <w:rPr>
                <w:rFonts w:ascii="Arial" w:hAnsi="Arial" w:cs="Arial"/>
                <w:b/>
                <w:sz w:val="20"/>
                <w:szCs w:val="20"/>
              </w:rPr>
            </w:pPr>
            <w:r w:rsidRPr="00173834">
              <w:rPr>
                <w:rFonts w:ascii="Arial" w:hAnsi="Arial" w:cs="Arial"/>
                <w:b/>
                <w:sz w:val="20"/>
                <w:szCs w:val="20"/>
              </w:rPr>
              <w:t>1.25</w:t>
            </w:r>
          </w:p>
        </w:tc>
      </w:tr>
    </w:tbl>
    <w:p w14:paraId="30D07F7D" w14:textId="77777777" w:rsidR="0007241B" w:rsidRDefault="0007241B" w:rsidP="005839AE"/>
    <w:p w14:paraId="45BD1ABA" w14:textId="2BA9A641" w:rsidR="008F1160" w:rsidRDefault="000E32E6" w:rsidP="005839AE">
      <w:r w:rsidRPr="00550E7D">
        <w:t>Table 2.</w:t>
      </w:r>
      <w:r>
        <w:t>3</w:t>
      </w:r>
      <w:r w:rsidRPr="00550E7D">
        <w:t xml:space="preserve"> shows </w:t>
      </w:r>
      <w:r>
        <w:t>BI</w:t>
      </w:r>
      <w:r w:rsidRPr="00550E7D">
        <w:t>P enrollment</w:t>
      </w:r>
      <w:r>
        <w:t>s</w:t>
      </w:r>
      <w:r w:rsidRPr="00550E7D">
        <w:t xml:space="preserve"> for S</w:t>
      </w:r>
      <w:r>
        <w:t>DG&amp;</w:t>
      </w:r>
      <w:r w:rsidRPr="00550E7D">
        <w:t xml:space="preserve">E. </w:t>
      </w:r>
      <w:r>
        <w:t>SDG&amp;E</w:t>
      </w:r>
      <w:r w:rsidRPr="00550E7D">
        <w:t>’s enrollment in B</w:t>
      </w:r>
      <w:r>
        <w:t>I</w:t>
      </w:r>
      <w:r w:rsidRPr="00550E7D">
        <w:t xml:space="preserve">P </w:t>
      </w:r>
      <w:r>
        <w:t xml:space="preserve">was 7 </w:t>
      </w:r>
      <w:r w:rsidRPr="00550E7D">
        <w:t xml:space="preserve">service accounts </w:t>
      </w:r>
      <w:r>
        <w:t>on the May 16, 2014 event day</w:t>
      </w:r>
      <w:r w:rsidRPr="00550E7D">
        <w:t xml:space="preserve">, which is </w:t>
      </w:r>
      <w:r>
        <w:t xml:space="preserve">the same number of service accounts enrolled during </w:t>
      </w:r>
      <w:r w:rsidRPr="00550E7D">
        <w:t>PY201</w:t>
      </w:r>
      <w:r>
        <w:t>3</w:t>
      </w:r>
      <w:r w:rsidRPr="00550E7D">
        <w:t>.</w:t>
      </w:r>
      <w:r>
        <w:t xml:space="preserve"> </w:t>
      </w:r>
      <w:r w:rsidRPr="00550E7D">
        <w:t xml:space="preserve">These accounted for a total of </w:t>
      </w:r>
      <w:r>
        <w:t>4.2</w:t>
      </w:r>
      <w:r w:rsidRPr="00550E7D">
        <w:t xml:space="preserve"> MW of maximum demand, or </w:t>
      </w:r>
      <w:r>
        <w:lastRenderedPageBreak/>
        <w:t>0.60</w:t>
      </w:r>
      <w:r w:rsidRPr="00550E7D">
        <w:t xml:space="preserve"> MW per service account. </w:t>
      </w:r>
      <w:r>
        <w:t>Agriculture, mining, and construction customers comprise the majority of the enrolled load</w:t>
      </w:r>
      <w:r w:rsidRPr="00550E7D">
        <w:t xml:space="preserve">. </w:t>
      </w:r>
      <w:r w:rsidR="00A94317">
        <w:t>Note that the contents of the table have been removed due to confidentiality concerns.</w:t>
      </w:r>
      <w:r w:rsidRPr="00550E7D">
        <w:t xml:space="preserve"> </w:t>
      </w:r>
    </w:p>
    <w:p w14:paraId="7BE75013" w14:textId="77777777" w:rsidR="008F1160" w:rsidRPr="007C28F4" w:rsidRDefault="008F1160" w:rsidP="008F1160">
      <w:pPr>
        <w:rPr>
          <w:highlight w:val="yellow"/>
        </w:rPr>
      </w:pPr>
    </w:p>
    <w:p w14:paraId="73F7E847" w14:textId="4CF8E11A" w:rsidR="008F1160" w:rsidRPr="00550E7D" w:rsidRDefault="008F1160" w:rsidP="008F1160">
      <w:pPr>
        <w:pStyle w:val="TableCaption"/>
        <w:keepNext/>
        <w:keepLines/>
      </w:pPr>
      <w:bookmarkStart w:id="45" w:name="_Toc415489003"/>
      <w:r>
        <w:t xml:space="preserve">Table 2.3: </w:t>
      </w:r>
      <w:r w:rsidRPr="00550E7D">
        <w:t>B</w:t>
      </w:r>
      <w:r>
        <w:t>I</w:t>
      </w:r>
      <w:r w:rsidRPr="00550E7D">
        <w:t xml:space="preserve">P Enrollees by Industry Group, </w:t>
      </w:r>
      <w:r w:rsidRPr="00550E7D">
        <w:rPr>
          <w:i/>
        </w:rPr>
        <w:t>S</w:t>
      </w:r>
      <w:r>
        <w:rPr>
          <w:i/>
        </w:rPr>
        <w:t>DG&amp;</w:t>
      </w:r>
      <w:r w:rsidRPr="00550E7D">
        <w:rPr>
          <w:i/>
        </w:rPr>
        <w:t>E</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71"/>
        <w:gridCol w:w="1437"/>
        <w:gridCol w:w="1241"/>
        <w:gridCol w:w="1252"/>
      </w:tblGrid>
      <w:tr w:rsidR="008F1160" w:rsidRPr="007C28F4" w14:paraId="4832518D" w14:textId="77777777" w:rsidTr="006A7B0D">
        <w:tc>
          <w:tcPr>
            <w:tcW w:w="0" w:type="auto"/>
            <w:shd w:val="clear" w:color="auto" w:fill="D9E2F3"/>
            <w:vAlign w:val="center"/>
          </w:tcPr>
          <w:p w14:paraId="0896E3E8" w14:textId="77777777" w:rsidR="008F1160" w:rsidRPr="00550E7D" w:rsidRDefault="008F1160" w:rsidP="006A7B0D">
            <w:pPr>
              <w:keepNext/>
              <w:keepLines/>
              <w:jc w:val="center"/>
              <w:rPr>
                <w:rFonts w:ascii="Arial" w:hAnsi="Arial" w:cs="Arial"/>
                <w:b/>
                <w:sz w:val="20"/>
                <w:szCs w:val="20"/>
              </w:rPr>
            </w:pPr>
            <w:r w:rsidRPr="00550E7D">
              <w:rPr>
                <w:rFonts w:ascii="Arial" w:hAnsi="Arial" w:cs="Arial"/>
                <w:b/>
                <w:sz w:val="20"/>
                <w:szCs w:val="20"/>
              </w:rPr>
              <w:t>Industry Type</w:t>
            </w:r>
          </w:p>
        </w:tc>
        <w:tc>
          <w:tcPr>
            <w:tcW w:w="0" w:type="auto"/>
            <w:shd w:val="clear" w:color="auto" w:fill="D9E2F3"/>
            <w:vAlign w:val="center"/>
          </w:tcPr>
          <w:p w14:paraId="1FB1F55A" w14:textId="77777777" w:rsidR="008F1160" w:rsidRPr="00550E7D" w:rsidRDefault="008F1160" w:rsidP="006A7B0D">
            <w:pPr>
              <w:keepNext/>
              <w:keepLines/>
              <w:jc w:val="center"/>
              <w:rPr>
                <w:rFonts w:ascii="Arial" w:hAnsi="Arial" w:cs="Arial"/>
                <w:b/>
                <w:sz w:val="20"/>
                <w:szCs w:val="20"/>
              </w:rPr>
            </w:pPr>
            <w:r w:rsidRPr="00550E7D">
              <w:rPr>
                <w:rFonts w:ascii="Arial" w:hAnsi="Arial" w:cs="Arial"/>
                <w:b/>
                <w:sz w:val="20"/>
                <w:szCs w:val="20"/>
              </w:rPr>
              <w:t># of Service Accounts</w:t>
            </w:r>
          </w:p>
        </w:tc>
        <w:tc>
          <w:tcPr>
            <w:tcW w:w="0" w:type="auto"/>
            <w:shd w:val="clear" w:color="auto" w:fill="D9E2F3"/>
            <w:vAlign w:val="center"/>
          </w:tcPr>
          <w:p w14:paraId="091E4EC5" w14:textId="77777777" w:rsidR="008F1160" w:rsidRPr="00550E7D" w:rsidRDefault="008F1160" w:rsidP="006A7B0D">
            <w:pPr>
              <w:keepNext/>
              <w:keepLines/>
              <w:jc w:val="center"/>
              <w:rPr>
                <w:rFonts w:ascii="Arial" w:hAnsi="Arial" w:cs="Arial"/>
                <w:b/>
                <w:sz w:val="20"/>
                <w:szCs w:val="20"/>
              </w:rPr>
            </w:pPr>
            <w:r w:rsidRPr="00550E7D">
              <w:rPr>
                <w:rFonts w:ascii="Arial" w:hAnsi="Arial" w:cs="Arial"/>
                <w:b/>
                <w:sz w:val="20"/>
                <w:szCs w:val="20"/>
              </w:rPr>
              <w:t>Sum of Max MW</w:t>
            </w:r>
          </w:p>
        </w:tc>
        <w:tc>
          <w:tcPr>
            <w:tcW w:w="0" w:type="auto"/>
            <w:shd w:val="clear" w:color="auto" w:fill="D9E2F3"/>
            <w:vAlign w:val="center"/>
          </w:tcPr>
          <w:p w14:paraId="6AC0A392" w14:textId="77777777" w:rsidR="008F1160" w:rsidRPr="00550E7D" w:rsidRDefault="008F1160" w:rsidP="006A7B0D">
            <w:pPr>
              <w:keepNext/>
              <w:keepLines/>
              <w:jc w:val="center"/>
              <w:rPr>
                <w:rFonts w:ascii="Arial" w:hAnsi="Arial" w:cs="Arial"/>
                <w:b/>
                <w:sz w:val="20"/>
                <w:szCs w:val="20"/>
              </w:rPr>
            </w:pPr>
            <w:r w:rsidRPr="00550E7D">
              <w:rPr>
                <w:rFonts w:ascii="Arial" w:hAnsi="Arial" w:cs="Arial"/>
                <w:b/>
                <w:sz w:val="20"/>
                <w:szCs w:val="20"/>
              </w:rPr>
              <w:t>% of Max MW</w:t>
            </w:r>
          </w:p>
        </w:tc>
        <w:tc>
          <w:tcPr>
            <w:tcW w:w="0" w:type="auto"/>
            <w:shd w:val="clear" w:color="auto" w:fill="D9E2F3"/>
            <w:vAlign w:val="center"/>
          </w:tcPr>
          <w:p w14:paraId="7B50073B" w14:textId="77777777" w:rsidR="008F1160" w:rsidRPr="00550E7D" w:rsidRDefault="008F1160" w:rsidP="006A7B0D">
            <w:pPr>
              <w:keepNext/>
              <w:keepLines/>
              <w:jc w:val="center"/>
              <w:rPr>
                <w:rFonts w:ascii="Arial" w:hAnsi="Arial" w:cs="Arial"/>
                <w:b/>
                <w:sz w:val="20"/>
                <w:szCs w:val="20"/>
              </w:rPr>
            </w:pPr>
            <w:r w:rsidRPr="00550E7D">
              <w:rPr>
                <w:rFonts w:ascii="Arial" w:hAnsi="Arial" w:cs="Arial"/>
                <w:b/>
                <w:sz w:val="20"/>
                <w:szCs w:val="20"/>
              </w:rPr>
              <w:t>Ave. Max MW</w:t>
            </w:r>
          </w:p>
        </w:tc>
      </w:tr>
      <w:tr w:rsidR="008F1160" w:rsidRPr="007C28F4" w14:paraId="757D39DA" w14:textId="77777777" w:rsidTr="008F1160">
        <w:tc>
          <w:tcPr>
            <w:tcW w:w="0" w:type="auto"/>
          </w:tcPr>
          <w:p w14:paraId="4D6F7673" w14:textId="77777777" w:rsidR="008F1160" w:rsidRPr="00550E7D" w:rsidRDefault="008F1160" w:rsidP="008F1160">
            <w:pPr>
              <w:keepNext/>
              <w:keepLines/>
              <w:rPr>
                <w:rFonts w:ascii="Arial" w:hAnsi="Arial" w:cs="Arial"/>
                <w:sz w:val="20"/>
                <w:szCs w:val="20"/>
              </w:rPr>
            </w:pPr>
            <w:r w:rsidRPr="00550E7D">
              <w:rPr>
                <w:rFonts w:ascii="Arial" w:hAnsi="Arial" w:cs="Arial"/>
                <w:sz w:val="20"/>
                <w:szCs w:val="20"/>
              </w:rPr>
              <w:t>1.Agriculture, Mining, Construction</w:t>
            </w:r>
          </w:p>
        </w:tc>
        <w:tc>
          <w:tcPr>
            <w:tcW w:w="0" w:type="auto"/>
            <w:vAlign w:val="center"/>
          </w:tcPr>
          <w:p w14:paraId="481FE6A7" w14:textId="3C7DFC1A" w:rsidR="008F1160" w:rsidRPr="008F1160" w:rsidRDefault="008F1160" w:rsidP="008F1160">
            <w:pPr>
              <w:jc w:val="right"/>
              <w:rPr>
                <w:rFonts w:ascii="Arial" w:hAnsi="Arial" w:cs="Arial"/>
                <w:sz w:val="20"/>
                <w:szCs w:val="20"/>
              </w:rPr>
            </w:pPr>
          </w:p>
        </w:tc>
        <w:tc>
          <w:tcPr>
            <w:tcW w:w="0" w:type="auto"/>
            <w:vAlign w:val="center"/>
          </w:tcPr>
          <w:p w14:paraId="0AE07C72" w14:textId="659FBF62" w:rsidR="008F1160" w:rsidRPr="008F1160" w:rsidRDefault="008F1160" w:rsidP="008F1160">
            <w:pPr>
              <w:jc w:val="right"/>
              <w:rPr>
                <w:rFonts w:ascii="Arial" w:hAnsi="Arial" w:cs="Arial"/>
                <w:sz w:val="20"/>
                <w:szCs w:val="20"/>
              </w:rPr>
            </w:pPr>
          </w:p>
        </w:tc>
        <w:tc>
          <w:tcPr>
            <w:tcW w:w="0" w:type="auto"/>
            <w:vAlign w:val="center"/>
          </w:tcPr>
          <w:p w14:paraId="6112EAD8" w14:textId="2D02F5E3" w:rsidR="008F1160" w:rsidRPr="008F1160" w:rsidRDefault="008F1160" w:rsidP="008F1160">
            <w:pPr>
              <w:jc w:val="right"/>
              <w:rPr>
                <w:rFonts w:ascii="Arial" w:hAnsi="Arial" w:cs="Arial"/>
                <w:sz w:val="20"/>
                <w:szCs w:val="20"/>
              </w:rPr>
            </w:pPr>
          </w:p>
        </w:tc>
        <w:tc>
          <w:tcPr>
            <w:tcW w:w="0" w:type="auto"/>
            <w:vAlign w:val="center"/>
          </w:tcPr>
          <w:p w14:paraId="2DC83A9C" w14:textId="265BDB90" w:rsidR="008F1160" w:rsidRPr="008F1160" w:rsidRDefault="008F1160" w:rsidP="008F1160">
            <w:pPr>
              <w:jc w:val="right"/>
              <w:rPr>
                <w:rFonts w:ascii="Arial" w:hAnsi="Arial" w:cs="Arial"/>
                <w:sz w:val="20"/>
                <w:szCs w:val="20"/>
              </w:rPr>
            </w:pPr>
          </w:p>
        </w:tc>
      </w:tr>
      <w:tr w:rsidR="008F1160" w:rsidRPr="007C28F4" w14:paraId="66BAE1F2" w14:textId="77777777" w:rsidTr="008F1160">
        <w:tc>
          <w:tcPr>
            <w:tcW w:w="0" w:type="auto"/>
          </w:tcPr>
          <w:p w14:paraId="60214F76" w14:textId="77777777" w:rsidR="008F1160" w:rsidRPr="00550E7D" w:rsidRDefault="008F1160" w:rsidP="008F1160">
            <w:pPr>
              <w:keepNext/>
              <w:keepLines/>
              <w:rPr>
                <w:rFonts w:ascii="Arial" w:hAnsi="Arial" w:cs="Arial"/>
                <w:sz w:val="20"/>
                <w:szCs w:val="20"/>
              </w:rPr>
            </w:pPr>
            <w:r w:rsidRPr="00550E7D">
              <w:rPr>
                <w:rFonts w:ascii="Arial" w:hAnsi="Arial" w:cs="Arial"/>
                <w:sz w:val="20"/>
                <w:szCs w:val="20"/>
              </w:rPr>
              <w:t>2.Manufacturing</w:t>
            </w:r>
          </w:p>
        </w:tc>
        <w:tc>
          <w:tcPr>
            <w:tcW w:w="0" w:type="auto"/>
            <w:vAlign w:val="center"/>
          </w:tcPr>
          <w:p w14:paraId="78F25807" w14:textId="7533A225" w:rsidR="008F1160" w:rsidRPr="008F1160" w:rsidRDefault="008F1160" w:rsidP="008F1160">
            <w:pPr>
              <w:jc w:val="right"/>
              <w:rPr>
                <w:rFonts w:ascii="Arial" w:hAnsi="Arial" w:cs="Arial"/>
                <w:sz w:val="20"/>
                <w:szCs w:val="20"/>
              </w:rPr>
            </w:pPr>
          </w:p>
        </w:tc>
        <w:tc>
          <w:tcPr>
            <w:tcW w:w="0" w:type="auto"/>
            <w:vAlign w:val="center"/>
          </w:tcPr>
          <w:p w14:paraId="0427EF8B" w14:textId="43CB9C2F" w:rsidR="008F1160" w:rsidRPr="008F1160" w:rsidRDefault="008F1160" w:rsidP="008F1160">
            <w:pPr>
              <w:jc w:val="right"/>
              <w:rPr>
                <w:rFonts w:ascii="Arial" w:hAnsi="Arial" w:cs="Arial"/>
                <w:sz w:val="20"/>
                <w:szCs w:val="20"/>
              </w:rPr>
            </w:pPr>
          </w:p>
        </w:tc>
        <w:tc>
          <w:tcPr>
            <w:tcW w:w="0" w:type="auto"/>
            <w:vAlign w:val="center"/>
          </w:tcPr>
          <w:p w14:paraId="0B1D69A9" w14:textId="710E11BE" w:rsidR="008F1160" w:rsidRPr="008F1160" w:rsidRDefault="008F1160" w:rsidP="008F1160">
            <w:pPr>
              <w:jc w:val="right"/>
              <w:rPr>
                <w:rFonts w:ascii="Arial" w:hAnsi="Arial" w:cs="Arial"/>
                <w:sz w:val="20"/>
                <w:szCs w:val="20"/>
              </w:rPr>
            </w:pPr>
          </w:p>
        </w:tc>
        <w:tc>
          <w:tcPr>
            <w:tcW w:w="0" w:type="auto"/>
            <w:vAlign w:val="center"/>
          </w:tcPr>
          <w:p w14:paraId="026B3AC9" w14:textId="483D41B1" w:rsidR="008F1160" w:rsidRPr="008F1160" w:rsidRDefault="008F1160" w:rsidP="008F1160">
            <w:pPr>
              <w:jc w:val="right"/>
              <w:rPr>
                <w:rFonts w:ascii="Arial" w:hAnsi="Arial" w:cs="Arial"/>
                <w:sz w:val="20"/>
                <w:szCs w:val="20"/>
              </w:rPr>
            </w:pPr>
          </w:p>
        </w:tc>
      </w:tr>
      <w:tr w:rsidR="008F1160" w:rsidRPr="007C28F4" w14:paraId="11D649AE" w14:textId="77777777" w:rsidTr="008F1160">
        <w:tc>
          <w:tcPr>
            <w:tcW w:w="0" w:type="auto"/>
          </w:tcPr>
          <w:p w14:paraId="2A7AF236" w14:textId="77777777" w:rsidR="008F1160" w:rsidRPr="00550E7D" w:rsidRDefault="008F1160" w:rsidP="008F1160">
            <w:pPr>
              <w:keepNext/>
              <w:keepLines/>
              <w:rPr>
                <w:rFonts w:ascii="Arial" w:hAnsi="Arial" w:cs="Arial"/>
                <w:sz w:val="20"/>
                <w:szCs w:val="20"/>
              </w:rPr>
            </w:pPr>
            <w:r w:rsidRPr="00550E7D">
              <w:rPr>
                <w:rFonts w:ascii="Arial" w:hAnsi="Arial" w:cs="Arial"/>
                <w:sz w:val="20"/>
                <w:szCs w:val="20"/>
              </w:rPr>
              <w:t>3.Wholesale, Transportation, Utilities</w:t>
            </w:r>
          </w:p>
        </w:tc>
        <w:tc>
          <w:tcPr>
            <w:tcW w:w="0" w:type="auto"/>
            <w:vAlign w:val="center"/>
          </w:tcPr>
          <w:p w14:paraId="49AABE4F" w14:textId="057D429C" w:rsidR="008F1160" w:rsidRPr="008F1160" w:rsidRDefault="008F1160" w:rsidP="008F1160">
            <w:pPr>
              <w:jc w:val="right"/>
              <w:rPr>
                <w:rFonts w:ascii="Arial" w:hAnsi="Arial" w:cs="Arial"/>
                <w:sz w:val="20"/>
                <w:szCs w:val="20"/>
              </w:rPr>
            </w:pPr>
          </w:p>
        </w:tc>
        <w:tc>
          <w:tcPr>
            <w:tcW w:w="0" w:type="auto"/>
            <w:vAlign w:val="center"/>
          </w:tcPr>
          <w:p w14:paraId="3653BB7C" w14:textId="48D3EECE" w:rsidR="008F1160" w:rsidRPr="008F1160" w:rsidRDefault="008F1160" w:rsidP="008F1160">
            <w:pPr>
              <w:jc w:val="right"/>
              <w:rPr>
                <w:rFonts w:ascii="Arial" w:hAnsi="Arial" w:cs="Arial"/>
                <w:sz w:val="20"/>
                <w:szCs w:val="20"/>
              </w:rPr>
            </w:pPr>
          </w:p>
        </w:tc>
        <w:tc>
          <w:tcPr>
            <w:tcW w:w="0" w:type="auto"/>
            <w:vAlign w:val="center"/>
          </w:tcPr>
          <w:p w14:paraId="454C5545" w14:textId="31273974" w:rsidR="008F1160" w:rsidRPr="008F1160" w:rsidRDefault="008F1160" w:rsidP="008F1160">
            <w:pPr>
              <w:jc w:val="right"/>
              <w:rPr>
                <w:rFonts w:ascii="Arial" w:hAnsi="Arial" w:cs="Arial"/>
                <w:sz w:val="20"/>
                <w:szCs w:val="20"/>
              </w:rPr>
            </w:pPr>
          </w:p>
        </w:tc>
        <w:tc>
          <w:tcPr>
            <w:tcW w:w="0" w:type="auto"/>
            <w:vAlign w:val="center"/>
          </w:tcPr>
          <w:p w14:paraId="1C700E03" w14:textId="58E054EF" w:rsidR="008F1160" w:rsidRPr="008F1160" w:rsidRDefault="008F1160" w:rsidP="008F1160">
            <w:pPr>
              <w:jc w:val="right"/>
              <w:rPr>
                <w:rFonts w:ascii="Arial" w:hAnsi="Arial" w:cs="Arial"/>
                <w:sz w:val="20"/>
                <w:szCs w:val="20"/>
              </w:rPr>
            </w:pPr>
          </w:p>
        </w:tc>
      </w:tr>
      <w:tr w:rsidR="008F1160" w:rsidRPr="007C28F4" w14:paraId="21791D70" w14:textId="77777777" w:rsidTr="008F1160">
        <w:tc>
          <w:tcPr>
            <w:tcW w:w="0" w:type="auto"/>
          </w:tcPr>
          <w:p w14:paraId="64D561B7" w14:textId="77777777" w:rsidR="008F1160" w:rsidRPr="00550E7D" w:rsidRDefault="008F1160" w:rsidP="008F1160">
            <w:pPr>
              <w:keepNext/>
              <w:keepLines/>
              <w:rPr>
                <w:rFonts w:ascii="Arial" w:hAnsi="Arial" w:cs="Arial"/>
                <w:sz w:val="20"/>
                <w:szCs w:val="20"/>
              </w:rPr>
            </w:pPr>
            <w:r w:rsidRPr="00550E7D">
              <w:rPr>
                <w:rFonts w:ascii="Arial" w:hAnsi="Arial" w:cs="Arial"/>
                <w:sz w:val="20"/>
                <w:szCs w:val="20"/>
              </w:rPr>
              <w:t>4.Retail</w:t>
            </w:r>
          </w:p>
        </w:tc>
        <w:tc>
          <w:tcPr>
            <w:tcW w:w="0" w:type="auto"/>
            <w:vAlign w:val="center"/>
          </w:tcPr>
          <w:p w14:paraId="69128A96" w14:textId="408ECD17" w:rsidR="008F1160" w:rsidRPr="008F1160" w:rsidRDefault="008F1160" w:rsidP="008F1160">
            <w:pPr>
              <w:jc w:val="right"/>
              <w:rPr>
                <w:rFonts w:ascii="Arial" w:hAnsi="Arial" w:cs="Arial"/>
                <w:sz w:val="20"/>
                <w:szCs w:val="20"/>
              </w:rPr>
            </w:pPr>
          </w:p>
        </w:tc>
        <w:tc>
          <w:tcPr>
            <w:tcW w:w="0" w:type="auto"/>
            <w:vAlign w:val="center"/>
          </w:tcPr>
          <w:p w14:paraId="075B85EC" w14:textId="3FF8A2EA" w:rsidR="008F1160" w:rsidRPr="008F1160" w:rsidRDefault="008F1160" w:rsidP="008F1160">
            <w:pPr>
              <w:jc w:val="right"/>
              <w:rPr>
                <w:rFonts w:ascii="Arial" w:hAnsi="Arial" w:cs="Arial"/>
                <w:sz w:val="20"/>
                <w:szCs w:val="20"/>
              </w:rPr>
            </w:pPr>
          </w:p>
        </w:tc>
        <w:tc>
          <w:tcPr>
            <w:tcW w:w="0" w:type="auto"/>
            <w:vAlign w:val="center"/>
          </w:tcPr>
          <w:p w14:paraId="5D2D51A6" w14:textId="59D0F29F" w:rsidR="008F1160" w:rsidRPr="008F1160" w:rsidRDefault="008F1160" w:rsidP="008F1160">
            <w:pPr>
              <w:jc w:val="right"/>
              <w:rPr>
                <w:rFonts w:ascii="Arial" w:hAnsi="Arial" w:cs="Arial"/>
                <w:sz w:val="20"/>
                <w:szCs w:val="20"/>
              </w:rPr>
            </w:pPr>
          </w:p>
        </w:tc>
        <w:tc>
          <w:tcPr>
            <w:tcW w:w="0" w:type="auto"/>
            <w:vAlign w:val="center"/>
          </w:tcPr>
          <w:p w14:paraId="2EA23FDF" w14:textId="3171121F" w:rsidR="008F1160" w:rsidRPr="008F1160" w:rsidRDefault="008F1160" w:rsidP="008F1160">
            <w:pPr>
              <w:jc w:val="right"/>
              <w:rPr>
                <w:rFonts w:ascii="Arial" w:hAnsi="Arial" w:cs="Arial"/>
                <w:sz w:val="20"/>
                <w:szCs w:val="20"/>
              </w:rPr>
            </w:pPr>
          </w:p>
        </w:tc>
      </w:tr>
      <w:tr w:rsidR="008F1160" w:rsidRPr="00846569" w14:paraId="1095A66A" w14:textId="77777777" w:rsidTr="008F1160">
        <w:tc>
          <w:tcPr>
            <w:tcW w:w="0" w:type="auto"/>
          </w:tcPr>
          <w:p w14:paraId="65F1CBC2" w14:textId="77777777" w:rsidR="008F1160" w:rsidRPr="00550E7D" w:rsidRDefault="008F1160" w:rsidP="008F1160">
            <w:pPr>
              <w:keepNext/>
              <w:keepLines/>
              <w:rPr>
                <w:rFonts w:ascii="Arial" w:hAnsi="Arial" w:cs="Arial"/>
                <w:b/>
                <w:sz w:val="20"/>
                <w:szCs w:val="20"/>
              </w:rPr>
            </w:pPr>
            <w:r w:rsidRPr="00550E7D">
              <w:rPr>
                <w:rFonts w:ascii="Arial" w:hAnsi="Arial" w:cs="Arial"/>
                <w:b/>
                <w:sz w:val="20"/>
                <w:szCs w:val="20"/>
              </w:rPr>
              <w:t>TOTAL</w:t>
            </w:r>
          </w:p>
        </w:tc>
        <w:tc>
          <w:tcPr>
            <w:tcW w:w="0" w:type="auto"/>
            <w:vAlign w:val="center"/>
          </w:tcPr>
          <w:p w14:paraId="0822ABD8" w14:textId="3AB33A54" w:rsidR="008F1160" w:rsidRPr="008F1160" w:rsidRDefault="008F1160" w:rsidP="008F1160">
            <w:pPr>
              <w:jc w:val="right"/>
              <w:rPr>
                <w:rFonts w:ascii="Arial" w:hAnsi="Arial" w:cs="Arial"/>
                <w:b/>
                <w:sz w:val="20"/>
                <w:szCs w:val="20"/>
              </w:rPr>
            </w:pPr>
            <w:r w:rsidRPr="008F1160">
              <w:rPr>
                <w:rFonts w:ascii="Arial" w:hAnsi="Arial" w:cs="Arial"/>
                <w:b/>
                <w:sz w:val="20"/>
                <w:szCs w:val="20"/>
              </w:rPr>
              <w:t>7</w:t>
            </w:r>
          </w:p>
        </w:tc>
        <w:tc>
          <w:tcPr>
            <w:tcW w:w="0" w:type="auto"/>
            <w:vAlign w:val="center"/>
          </w:tcPr>
          <w:p w14:paraId="35273331" w14:textId="08D17612" w:rsidR="008F1160" w:rsidRPr="008F1160" w:rsidRDefault="008F1160" w:rsidP="008F1160">
            <w:pPr>
              <w:jc w:val="right"/>
              <w:rPr>
                <w:rFonts w:ascii="Arial" w:hAnsi="Arial" w:cs="Arial"/>
                <w:b/>
                <w:sz w:val="20"/>
                <w:szCs w:val="20"/>
              </w:rPr>
            </w:pPr>
            <w:r w:rsidRPr="008F1160">
              <w:rPr>
                <w:rFonts w:ascii="Arial" w:hAnsi="Arial" w:cs="Arial"/>
                <w:b/>
                <w:sz w:val="20"/>
                <w:szCs w:val="20"/>
              </w:rPr>
              <w:t>4.2</w:t>
            </w:r>
          </w:p>
        </w:tc>
        <w:tc>
          <w:tcPr>
            <w:tcW w:w="0" w:type="auto"/>
            <w:vAlign w:val="center"/>
          </w:tcPr>
          <w:p w14:paraId="3BE3C1B5" w14:textId="77777777" w:rsidR="008F1160" w:rsidRPr="008F1160" w:rsidRDefault="008F1160" w:rsidP="008F1160">
            <w:pPr>
              <w:jc w:val="right"/>
              <w:rPr>
                <w:rFonts w:ascii="Arial" w:hAnsi="Arial" w:cs="Arial"/>
                <w:b/>
                <w:sz w:val="20"/>
                <w:szCs w:val="20"/>
              </w:rPr>
            </w:pPr>
          </w:p>
        </w:tc>
        <w:tc>
          <w:tcPr>
            <w:tcW w:w="0" w:type="auto"/>
            <w:vAlign w:val="center"/>
          </w:tcPr>
          <w:p w14:paraId="2B8B0D9A" w14:textId="66AB43F0" w:rsidR="008F1160" w:rsidRPr="008F1160" w:rsidRDefault="008F1160" w:rsidP="008F1160">
            <w:pPr>
              <w:jc w:val="right"/>
              <w:rPr>
                <w:rFonts w:ascii="Arial" w:hAnsi="Arial" w:cs="Arial"/>
                <w:b/>
                <w:sz w:val="20"/>
                <w:szCs w:val="20"/>
              </w:rPr>
            </w:pPr>
            <w:r w:rsidRPr="008F1160">
              <w:rPr>
                <w:rFonts w:ascii="Arial" w:hAnsi="Arial" w:cs="Arial"/>
                <w:b/>
                <w:sz w:val="20"/>
                <w:szCs w:val="20"/>
              </w:rPr>
              <w:t>0.60</w:t>
            </w:r>
          </w:p>
        </w:tc>
      </w:tr>
    </w:tbl>
    <w:p w14:paraId="46851E46" w14:textId="77777777" w:rsidR="008F1160" w:rsidRDefault="008F1160" w:rsidP="005839AE"/>
    <w:p w14:paraId="49B7B39A" w14:textId="720CE58D" w:rsidR="007469E5" w:rsidRDefault="00321E09" w:rsidP="005839AE">
      <w:r>
        <w:t>Tables 2.</w:t>
      </w:r>
      <w:r w:rsidR="000E32E6">
        <w:t>4</w:t>
      </w:r>
      <w:r>
        <w:t xml:space="preserve"> and 2.</w:t>
      </w:r>
      <w:r w:rsidR="000E32E6">
        <w:t>5</w:t>
      </w:r>
      <w:r>
        <w:t xml:space="preserve"> show B</w:t>
      </w:r>
      <w:r w:rsidR="000E32E6">
        <w:t>I</w:t>
      </w:r>
      <w:r>
        <w:t>P enrollment by local capacity area for PG&amp;E and SCE</w:t>
      </w:r>
      <w:r w:rsidR="002A4A62">
        <w:t xml:space="preserve">, </w:t>
      </w:r>
      <w:r>
        <w:t>respectively.</w:t>
      </w:r>
      <w:r w:rsidR="00E47BA7">
        <w:t xml:space="preserve"> (SDG&amp;E consists of a single LCA.) The majority of PG&amp;E’s enrolled load is not in an LCA and 7</w:t>
      </w:r>
      <w:r w:rsidR="00173834">
        <w:t>6</w:t>
      </w:r>
      <w:r w:rsidR="00E47BA7">
        <w:t xml:space="preserve"> percent of SCE’s enrolled load is in the LA Basin.</w:t>
      </w:r>
      <w:r w:rsidR="00A94317">
        <w:t xml:space="preserve"> Note that portions of the tables have been removed due to confidentiality concerns.</w:t>
      </w:r>
    </w:p>
    <w:p w14:paraId="1EF80EE0" w14:textId="77777777" w:rsidR="000E32E6" w:rsidRDefault="000E32E6" w:rsidP="005839AE"/>
    <w:p w14:paraId="277208F1" w14:textId="4AAFA488" w:rsidR="00321E09" w:rsidRPr="00852320" w:rsidRDefault="006C0719" w:rsidP="00FA5E38">
      <w:pPr>
        <w:pStyle w:val="TableCaption"/>
        <w:keepNext/>
        <w:keepLines/>
        <w:rPr>
          <w:i/>
        </w:rPr>
      </w:pPr>
      <w:bookmarkStart w:id="46" w:name="_Toc415489004"/>
      <w:r w:rsidRPr="006C0719">
        <w:t>Table 2.</w:t>
      </w:r>
      <w:r w:rsidR="00E47BA7">
        <w:t>4</w:t>
      </w:r>
      <w:r w:rsidRPr="006C0719">
        <w:t xml:space="preserve">: </w:t>
      </w:r>
      <w:r w:rsidR="00321E09" w:rsidRPr="006C0719">
        <w:t>B</w:t>
      </w:r>
      <w:r w:rsidRPr="006C0719">
        <w:t>I</w:t>
      </w:r>
      <w:r w:rsidR="00321E09" w:rsidRPr="006C0719">
        <w:t>P Enrollees by Local Capacity Area</w:t>
      </w:r>
      <w:r w:rsidR="00E32794" w:rsidRPr="006C0719">
        <w:t xml:space="preserve">, </w:t>
      </w:r>
      <w:r w:rsidR="00321E09" w:rsidRPr="006C0719">
        <w:rPr>
          <w:i/>
        </w:rPr>
        <w:t>PG&amp;E</w:t>
      </w:r>
      <w:bookmarkEnd w:id="4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413"/>
        <w:gridCol w:w="1750"/>
        <w:gridCol w:w="1494"/>
        <w:gridCol w:w="1495"/>
      </w:tblGrid>
      <w:tr w:rsidR="0063082C" w:rsidRPr="00FF45E1" w14:paraId="4A122980" w14:textId="77777777" w:rsidTr="0005199B">
        <w:trPr>
          <w:jc w:val="center"/>
        </w:trPr>
        <w:tc>
          <w:tcPr>
            <w:tcW w:w="2088" w:type="dxa"/>
            <w:shd w:val="clear" w:color="auto" w:fill="D9E2F3"/>
            <w:vAlign w:val="center"/>
          </w:tcPr>
          <w:p w14:paraId="5CCDD1E7" w14:textId="77777777" w:rsidR="0063082C" w:rsidRPr="007E0A27" w:rsidRDefault="0063082C" w:rsidP="00FA5E38">
            <w:pPr>
              <w:keepNext/>
              <w:keepLines/>
              <w:jc w:val="center"/>
              <w:rPr>
                <w:rFonts w:ascii="Arial" w:hAnsi="Arial" w:cs="Arial"/>
                <w:b/>
                <w:sz w:val="20"/>
                <w:szCs w:val="20"/>
              </w:rPr>
            </w:pPr>
            <w:r w:rsidRPr="007E0A27">
              <w:rPr>
                <w:rFonts w:ascii="Arial" w:hAnsi="Arial" w:cs="Arial"/>
                <w:b/>
                <w:sz w:val="20"/>
                <w:szCs w:val="20"/>
              </w:rPr>
              <w:t>Local Capacity Area</w:t>
            </w:r>
          </w:p>
        </w:tc>
        <w:tc>
          <w:tcPr>
            <w:tcW w:w="1413" w:type="dxa"/>
            <w:shd w:val="clear" w:color="auto" w:fill="D9E2F3"/>
            <w:vAlign w:val="center"/>
          </w:tcPr>
          <w:p w14:paraId="5EFA6847" w14:textId="36E551CA" w:rsidR="0063082C" w:rsidRPr="007E0A27" w:rsidRDefault="0063082C" w:rsidP="00383F6F">
            <w:pPr>
              <w:keepNext/>
              <w:keepLines/>
              <w:jc w:val="center"/>
              <w:rPr>
                <w:rFonts w:ascii="Arial" w:hAnsi="Arial" w:cs="Arial"/>
                <w:b/>
                <w:sz w:val="20"/>
                <w:szCs w:val="20"/>
              </w:rPr>
            </w:pPr>
            <w:r>
              <w:rPr>
                <w:rFonts w:ascii="Arial" w:hAnsi="Arial" w:cs="Arial"/>
                <w:b/>
                <w:sz w:val="20"/>
                <w:szCs w:val="20"/>
              </w:rPr>
              <w:t># of Service A</w:t>
            </w:r>
            <w:r w:rsidR="00383F6F">
              <w:rPr>
                <w:rFonts w:ascii="Arial" w:hAnsi="Arial" w:cs="Arial"/>
                <w:b/>
                <w:sz w:val="20"/>
                <w:szCs w:val="20"/>
              </w:rPr>
              <w:t>greemen</w:t>
            </w:r>
            <w:r>
              <w:rPr>
                <w:rFonts w:ascii="Arial" w:hAnsi="Arial" w:cs="Arial"/>
                <w:b/>
                <w:sz w:val="20"/>
                <w:szCs w:val="20"/>
              </w:rPr>
              <w:t>ts</w:t>
            </w:r>
          </w:p>
        </w:tc>
        <w:tc>
          <w:tcPr>
            <w:tcW w:w="0" w:type="auto"/>
            <w:shd w:val="clear" w:color="auto" w:fill="D9E2F3"/>
            <w:vAlign w:val="center"/>
          </w:tcPr>
          <w:p w14:paraId="477F5212" w14:textId="77777777" w:rsidR="0063082C" w:rsidRPr="007E0A27" w:rsidRDefault="0063082C" w:rsidP="00FA5E38">
            <w:pPr>
              <w:keepNext/>
              <w:keepLines/>
              <w:jc w:val="center"/>
              <w:rPr>
                <w:rFonts w:ascii="Arial" w:hAnsi="Arial" w:cs="Arial"/>
                <w:b/>
                <w:sz w:val="20"/>
                <w:szCs w:val="20"/>
              </w:rPr>
            </w:pPr>
            <w:r w:rsidRPr="007E0A27">
              <w:rPr>
                <w:rFonts w:ascii="Arial" w:hAnsi="Arial" w:cs="Arial"/>
                <w:b/>
                <w:sz w:val="20"/>
                <w:szCs w:val="20"/>
              </w:rPr>
              <w:t xml:space="preserve">Sum of Max </w:t>
            </w:r>
            <w:r>
              <w:rPr>
                <w:rFonts w:ascii="Arial" w:hAnsi="Arial" w:cs="Arial"/>
                <w:b/>
                <w:sz w:val="20"/>
                <w:szCs w:val="20"/>
              </w:rPr>
              <w:t>M</w:t>
            </w:r>
            <w:r w:rsidRPr="007E0A27">
              <w:rPr>
                <w:rFonts w:ascii="Arial" w:hAnsi="Arial" w:cs="Arial"/>
                <w:b/>
                <w:sz w:val="20"/>
                <w:szCs w:val="20"/>
              </w:rPr>
              <w:t>W</w:t>
            </w:r>
          </w:p>
        </w:tc>
        <w:tc>
          <w:tcPr>
            <w:tcW w:w="0" w:type="auto"/>
            <w:shd w:val="clear" w:color="auto" w:fill="D9E2F3"/>
            <w:vAlign w:val="center"/>
          </w:tcPr>
          <w:p w14:paraId="7A7C540D" w14:textId="77777777" w:rsidR="0063082C" w:rsidRPr="007E0A27" w:rsidRDefault="0063082C" w:rsidP="00FA5E38">
            <w:pPr>
              <w:keepNext/>
              <w:keepLines/>
              <w:jc w:val="center"/>
              <w:rPr>
                <w:rFonts w:ascii="Arial" w:hAnsi="Arial" w:cs="Arial"/>
                <w:b/>
                <w:sz w:val="20"/>
                <w:szCs w:val="20"/>
              </w:rPr>
            </w:pPr>
            <w:r w:rsidRPr="007E0A27">
              <w:rPr>
                <w:rFonts w:ascii="Arial" w:hAnsi="Arial" w:cs="Arial"/>
                <w:b/>
                <w:sz w:val="20"/>
                <w:szCs w:val="20"/>
              </w:rPr>
              <w:t xml:space="preserve">% of Max </w:t>
            </w:r>
            <w:r>
              <w:rPr>
                <w:rFonts w:ascii="Arial" w:hAnsi="Arial" w:cs="Arial"/>
                <w:b/>
                <w:sz w:val="20"/>
                <w:szCs w:val="20"/>
              </w:rPr>
              <w:t>M</w:t>
            </w:r>
            <w:r w:rsidRPr="007E0A27">
              <w:rPr>
                <w:rFonts w:ascii="Arial" w:hAnsi="Arial" w:cs="Arial"/>
                <w:b/>
                <w:sz w:val="20"/>
                <w:szCs w:val="20"/>
              </w:rPr>
              <w:t>W</w:t>
            </w:r>
          </w:p>
        </w:tc>
        <w:tc>
          <w:tcPr>
            <w:tcW w:w="0" w:type="auto"/>
            <w:shd w:val="clear" w:color="auto" w:fill="D9E2F3"/>
            <w:vAlign w:val="center"/>
          </w:tcPr>
          <w:p w14:paraId="0EB17CEC" w14:textId="77777777" w:rsidR="0063082C" w:rsidRPr="007E0A27" w:rsidRDefault="0063082C" w:rsidP="00FA5E38">
            <w:pPr>
              <w:keepNext/>
              <w:keepLines/>
              <w:jc w:val="center"/>
              <w:rPr>
                <w:rFonts w:ascii="Arial" w:hAnsi="Arial" w:cs="Arial"/>
                <w:b/>
                <w:sz w:val="20"/>
                <w:szCs w:val="20"/>
              </w:rPr>
            </w:pPr>
            <w:r w:rsidRPr="007E0A27">
              <w:rPr>
                <w:rFonts w:ascii="Arial" w:hAnsi="Arial" w:cs="Arial"/>
                <w:b/>
                <w:sz w:val="20"/>
                <w:szCs w:val="20"/>
              </w:rPr>
              <w:t xml:space="preserve">Ave. </w:t>
            </w:r>
            <w:r>
              <w:rPr>
                <w:rFonts w:ascii="Arial" w:hAnsi="Arial" w:cs="Arial"/>
                <w:b/>
                <w:sz w:val="20"/>
                <w:szCs w:val="20"/>
              </w:rPr>
              <w:t>Max M</w:t>
            </w:r>
            <w:r w:rsidRPr="007E0A27">
              <w:rPr>
                <w:rFonts w:ascii="Arial" w:hAnsi="Arial" w:cs="Arial"/>
                <w:b/>
                <w:sz w:val="20"/>
                <w:szCs w:val="20"/>
              </w:rPr>
              <w:t>W</w:t>
            </w:r>
          </w:p>
        </w:tc>
      </w:tr>
      <w:tr w:rsidR="006C0719" w:rsidRPr="00FF45E1" w14:paraId="2DACDC00" w14:textId="77777777" w:rsidTr="006C0719">
        <w:trPr>
          <w:jc w:val="center"/>
        </w:trPr>
        <w:tc>
          <w:tcPr>
            <w:tcW w:w="2088" w:type="dxa"/>
            <w:vAlign w:val="bottom"/>
          </w:tcPr>
          <w:p w14:paraId="35CEDD15"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Greater Bay Area</w:t>
            </w:r>
          </w:p>
        </w:tc>
        <w:tc>
          <w:tcPr>
            <w:tcW w:w="1413" w:type="dxa"/>
            <w:vAlign w:val="center"/>
          </w:tcPr>
          <w:p w14:paraId="5C043057" w14:textId="7ED2DD72" w:rsidR="006C0719" w:rsidRPr="006C0719" w:rsidRDefault="006C0719" w:rsidP="006C0719">
            <w:pPr>
              <w:keepNext/>
              <w:keepLines/>
              <w:jc w:val="right"/>
              <w:rPr>
                <w:rFonts w:ascii="Arial" w:hAnsi="Arial" w:cs="Arial"/>
                <w:sz w:val="20"/>
                <w:szCs w:val="20"/>
              </w:rPr>
            </w:pPr>
          </w:p>
        </w:tc>
        <w:tc>
          <w:tcPr>
            <w:tcW w:w="0" w:type="auto"/>
            <w:vAlign w:val="center"/>
          </w:tcPr>
          <w:p w14:paraId="27BF5EE9" w14:textId="78661224" w:rsidR="006C0719" w:rsidRPr="006C0719" w:rsidRDefault="006C0719" w:rsidP="006C0719">
            <w:pPr>
              <w:keepNext/>
              <w:keepLines/>
              <w:jc w:val="right"/>
              <w:rPr>
                <w:rFonts w:ascii="Arial" w:hAnsi="Arial" w:cs="Arial"/>
                <w:sz w:val="20"/>
                <w:szCs w:val="20"/>
              </w:rPr>
            </w:pPr>
          </w:p>
        </w:tc>
        <w:tc>
          <w:tcPr>
            <w:tcW w:w="0" w:type="auto"/>
            <w:vAlign w:val="center"/>
          </w:tcPr>
          <w:p w14:paraId="73A8DA4C" w14:textId="6A69D039" w:rsidR="006C0719" w:rsidRPr="006C0719" w:rsidRDefault="006C0719" w:rsidP="006C0719">
            <w:pPr>
              <w:keepNext/>
              <w:keepLines/>
              <w:jc w:val="right"/>
              <w:rPr>
                <w:rFonts w:ascii="Arial" w:hAnsi="Arial" w:cs="Arial"/>
                <w:sz w:val="20"/>
                <w:szCs w:val="20"/>
              </w:rPr>
            </w:pPr>
          </w:p>
        </w:tc>
        <w:tc>
          <w:tcPr>
            <w:tcW w:w="0" w:type="auto"/>
            <w:vAlign w:val="center"/>
          </w:tcPr>
          <w:p w14:paraId="2FCB84A8" w14:textId="415EBC47" w:rsidR="006C0719" w:rsidRPr="006C0719" w:rsidRDefault="006C0719" w:rsidP="006C0719">
            <w:pPr>
              <w:keepNext/>
              <w:keepLines/>
              <w:jc w:val="right"/>
              <w:rPr>
                <w:rFonts w:ascii="Arial" w:hAnsi="Arial" w:cs="Arial"/>
                <w:sz w:val="20"/>
                <w:szCs w:val="20"/>
              </w:rPr>
            </w:pPr>
          </w:p>
        </w:tc>
      </w:tr>
      <w:tr w:rsidR="006C0719" w:rsidRPr="00FF45E1" w14:paraId="22027864" w14:textId="77777777" w:rsidTr="006C0719">
        <w:trPr>
          <w:jc w:val="center"/>
        </w:trPr>
        <w:tc>
          <w:tcPr>
            <w:tcW w:w="2088" w:type="dxa"/>
            <w:vAlign w:val="bottom"/>
          </w:tcPr>
          <w:p w14:paraId="5B80C3F7"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 xml:space="preserve">Greater </w:t>
            </w:r>
            <w:smartTag w:uri="urn:schemas-microsoft-com:office:smarttags" w:element="place">
              <w:smartTag w:uri="urn:schemas-microsoft-com:office:smarttags" w:element="City">
                <w:r w:rsidRPr="007E0A27">
                  <w:rPr>
                    <w:rFonts w:ascii="Arial" w:hAnsi="Arial" w:cs="Arial"/>
                    <w:sz w:val="20"/>
                    <w:szCs w:val="20"/>
                  </w:rPr>
                  <w:t>Fresno</w:t>
                </w:r>
              </w:smartTag>
            </w:smartTag>
          </w:p>
        </w:tc>
        <w:tc>
          <w:tcPr>
            <w:tcW w:w="1413" w:type="dxa"/>
            <w:vAlign w:val="center"/>
          </w:tcPr>
          <w:p w14:paraId="75EABE02" w14:textId="1DDD00A0" w:rsidR="006C0719" w:rsidRPr="006C0719" w:rsidRDefault="006C0719" w:rsidP="006C0719">
            <w:pPr>
              <w:keepNext/>
              <w:keepLines/>
              <w:jc w:val="right"/>
              <w:rPr>
                <w:rFonts w:ascii="Arial" w:hAnsi="Arial" w:cs="Arial"/>
                <w:sz w:val="20"/>
                <w:szCs w:val="20"/>
              </w:rPr>
            </w:pPr>
          </w:p>
        </w:tc>
        <w:tc>
          <w:tcPr>
            <w:tcW w:w="0" w:type="auto"/>
            <w:vAlign w:val="center"/>
          </w:tcPr>
          <w:p w14:paraId="4988466A" w14:textId="10EAE196" w:rsidR="006C0719" w:rsidRPr="006C0719" w:rsidRDefault="006C0719" w:rsidP="006C0719">
            <w:pPr>
              <w:keepNext/>
              <w:keepLines/>
              <w:jc w:val="right"/>
              <w:rPr>
                <w:rFonts w:ascii="Arial" w:hAnsi="Arial" w:cs="Arial"/>
                <w:sz w:val="20"/>
                <w:szCs w:val="20"/>
              </w:rPr>
            </w:pPr>
          </w:p>
        </w:tc>
        <w:tc>
          <w:tcPr>
            <w:tcW w:w="0" w:type="auto"/>
            <w:vAlign w:val="center"/>
          </w:tcPr>
          <w:p w14:paraId="0C023BBC" w14:textId="0D5F0260" w:rsidR="006C0719" w:rsidRPr="006C0719" w:rsidRDefault="006C0719" w:rsidP="006C0719">
            <w:pPr>
              <w:keepNext/>
              <w:keepLines/>
              <w:jc w:val="right"/>
              <w:rPr>
                <w:rFonts w:ascii="Arial" w:hAnsi="Arial" w:cs="Arial"/>
                <w:sz w:val="20"/>
                <w:szCs w:val="20"/>
              </w:rPr>
            </w:pPr>
          </w:p>
        </w:tc>
        <w:tc>
          <w:tcPr>
            <w:tcW w:w="0" w:type="auto"/>
            <w:vAlign w:val="center"/>
          </w:tcPr>
          <w:p w14:paraId="4CBA4C00" w14:textId="7A864DAE" w:rsidR="006C0719" w:rsidRPr="006C0719" w:rsidRDefault="006C0719" w:rsidP="006C0719">
            <w:pPr>
              <w:keepNext/>
              <w:keepLines/>
              <w:jc w:val="right"/>
              <w:rPr>
                <w:rFonts w:ascii="Arial" w:hAnsi="Arial" w:cs="Arial"/>
                <w:sz w:val="20"/>
                <w:szCs w:val="20"/>
              </w:rPr>
            </w:pPr>
          </w:p>
        </w:tc>
      </w:tr>
      <w:tr w:rsidR="006C0719" w:rsidRPr="00FF45E1" w14:paraId="6343BF7E" w14:textId="77777777" w:rsidTr="006C0719">
        <w:trPr>
          <w:jc w:val="center"/>
        </w:trPr>
        <w:tc>
          <w:tcPr>
            <w:tcW w:w="2088" w:type="dxa"/>
            <w:vAlign w:val="bottom"/>
          </w:tcPr>
          <w:p w14:paraId="53D14661"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Humboldt</w:t>
            </w:r>
          </w:p>
        </w:tc>
        <w:tc>
          <w:tcPr>
            <w:tcW w:w="1413" w:type="dxa"/>
            <w:vAlign w:val="center"/>
          </w:tcPr>
          <w:p w14:paraId="1E85DDF8" w14:textId="7ACD0CCE" w:rsidR="006C0719" w:rsidRPr="006C0719" w:rsidRDefault="006C0719" w:rsidP="006C0719">
            <w:pPr>
              <w:keepNext/>
              <w:keepLines/>
              <w:jc w:val="right"/>
              <w:rPr>
                <w:rFonts w:ascii="Arial" w:hAnsi="Arial" w:cs="Arial"/>
                <w:sz w:val="20"/>
                <w:szCs w:val="20"/>
              </w:rPr>
            </w:pPr>
          </w:p>
        </w:tc>
        <w:tc>
          <w:tcPr>
            <w:tcW w:w="0" w:type="auto"/>
            <w:vAlign w:val="center"/>
          </w:tcPr>
          <w:p w14:paraId="10A127B2" w14:textId="069E1D0C" w:rsidR="006C0719" w:rsidRPr="006C0719" w:rsidRDefault="006C0719" w:rsidP="006C0719">
            <w:pPr>
              <w:keepNext/>
              <w:keepLines/>
              <w:jc w:val="right"/>
              <w:rPr>
                <w:rFonts w:ascii="Arial" w:hAnsi="Arial" w:cs="Arial"/>
                <w:sz w:val="20"/>
                <w:szCs w:val="20"/>
              </w:rPr>
            </w:pPr>
          </w:p>
        </w:tc>
        <w:tc>
          <w:tcPr>
            <w:tcW w:w="0" w:type="auto"/>
            <w:vAlign w:val="center"/>
          </w:tcPr>
          <w:p w14:paraId="117C9EC6" w14:textId="0647AC00" w:rsidR="006C0719" w:rsidRPr="006C0719" w:rsidRDefault="006C0719" w:rsidP="006C0719">
            <w:pPr>
              <w:keepNext/>
              <w:keepLines/>
              <w:jc w:val="right"/>
              <w:rPr>
                <w:rFonts w:ascii="Arial" w:hAnsi="Arial" w:cs="Arial"/>
                <w:sz w:val="20"/>
                <w:szCs w:val="20"/>
              </w:rPr>
            </w:pPr>
          </w:p>
        </w:tc>
        <w:tc>
          <w:tcPr>
            <w:tcW w:w="0" w:type="auto"/>
            <w:vAlign w:val="center"/>
          </w:tcPr>
          <w:p w14:paraId="74E3D3DD" w14:textId="426DB864" w:rsidR="006C0719" w:rsidRPr="006C0719" w:rsidRDefault="006C0719" w:rsidP="006C0719">
            <w:pPr>
              <w:keepNext/>
              <w:keepLines/>
              <w:jc w:val="right"/>
              <w:rPr>
                <w:rFonts w:ascii="Arial" w:hAnsi="Arial" w:cs="Arial"/>
                <w:sz w:val="20"/>
                <w:szCs w:val="20"/>
              </w:rPr>
            </w:pPr>
          </w:p>
        </w:tc>
      </w:tr>
      <w:tr w:rsidR="006C0719" w:rsidRPr="00FF45E1" w14:paraId="75C21800" w14:textId="77777777" w:rsidTr="006C0719">
        <w:trPr>
          <w:jc w:val="center"/>
        </w:trPr>
        <w:tc>
          <w:tcPr>
            <w:tcW w:w="2088" w:type="dxa"/>
            <w:vAlign w:val="bottom"/>
          </w:tcPr>
          <w:p w14:paraId="39162881"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Kern</w:t>
            </w:r>
          </w:p>
        </w:tc>
        <w:tc>
          <w:tcPr>
            <w:tcW w:w="1413" w:type="dxa"/>
            <w:vAlign w:val="center"/>
          </w:tcPr>
          <w:p w14:paraId="221CADA3" w14:textId="43999FDB" w:rsidR="006C0719" w:rsidRPr="006C0719" w:rsidRDefault="006C0719" w:rsidP="006C0719">
            <w:pPr>
              <w:keepNext/>
              <w:keepLines/>
              <w:jc w:val="right"/>
              <w:rPr>
                <w:rFonts w:ascii="Arial" w:hAnsi="Arial" w:cs="Arial"/>
                <w:sz w:val="20"/>
                <w:szCs w:val="20"/>
              </w:rPr>
            </w:pPr>
          </w:p>
        </w:tc>
        <w:tc>
          <w:tcPr>
            <w:tcW w:w="0" w:type="auto"/>
            <w:vAlign w:val="center"/>
          </w:tcPr>
          <w:p w14:paraId="413E18B6" w14:textId="6A471265" w:rsidR="006C0719" w:rsidRPr="006C0719" w:rsidRDefault="006C0719" w:rsidP="006C0719">
            <w:pPr>
              <w:keepNext/>
              <w:keepLines/>
              <w:jc w:val="right"/>
              <w:rPr>
                <w:rFonts w:ascii="Arial" w:hAnsi="Arial" w:cs="Arial"/>
                <w:sz w:val="20"/>
                <w:szCs w:val="20"/>
              </w:rPr>
            </w:pPr>
          </w:p>
        </w:tc>
        <w:tc>
          <w:tcPr>
            <w:tcW w:w="0" w:type="auto"/>
            <w:vAlign w:val="center"/>
          </w:tcPr>
          <w:p w14:paraId="0646D770" w14:textId="3A94672E" w:rsidR="006C0719" w:rsidRPr="006C0719" w:rsidRDefault="006C0719" w:rsidP="006C0719">
            <w:pPr>
              <w:keepNext/>
              <w:keepLines/>
              <w:jc w:val="right"/>
              <w:rPr>
                <w:rFonts w:ascii="Arial" w:hAnsi="Arial" w:cs="Arial"/>
                <w:sz w:val="20"/>
                <w:szCs w:val="20"/>
              </w:rPr>
            </w:pPr>
          </w:p>
        </w:tc>
        <w:tc>
          <w:tcPr>
            <w:tcW w:w="0" w:type="auto"/>
            <w:vAlign w:val="center"/>
          </w:tcPr>
          <w:p w14:paraId="66C38494" w14:textId="27712490" w:rsidR="006C0719" w:rsidRPr="006C0719" w:rsidRDefault="006C0719" w:rsidP="006C0719">
            <w:pPr>
              <w:keepNext/>
              <w:keepLines/>
              <w:jc w:val="right"/>
              <w:rPr>
                <w:rFonts w:ascii="Arial" w:hAnsi="Arial" w:cs="Arial"/>
                <w:sz w:val="20"/>
                <w:szCs w:val="20"/>
              </w:rPr>
            </w:pPr>
          </w:p>
        </w:tc>
      </w:tr>
      <w:tr w:rsidR="006C0719" w:rsidRPr="00FF45E1" w14:paraId="4212DC4A" w14:textId="77777777" w:rsidTr="006C0719">
        <w:trPr>
          <w:jc w:val="center"/>
        </w:trPr>
        <w:tc>
          <w:tcPr>
            <w:tcW w:w="2088" w:type="dxa"/>
            <w:vAlign w:val="bottom"/>
          </w:tcPr>
          <w:p w14:paraId="321FA9F8"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Northern Coast</w:t>
            </w:r>
          </w:p>
        </w:tc>
        <w:tc>
          <w:tcPr>
            <w:tcW w:w="1413" w:type="dxa"/>
            <w:vAlign w:val="center"/>
          </w:tcPr>
          <w:p w14:paraId="03C84D37" w14:textId="2B2B1652" w:rsidR="006C0719" w:rsidRPr="006C0719" w:rsidRDefault="006C0719" w:rsidP="006C0719">
            <w:pPr>
              <w:keepNext/>
              <w:keepLines/>
              <w:jc w:val="right"/>
              <w:rPr>
                <w:rFonts w:ascii="Arial" w:hAnsi="Arial" w:cs="Arial"/>
                <w:sz w:val="20"/>
                <w:szCs w:val="20"/>
              </w:rPr>
            </w:pPr>
          </w:p>
        </w:tc>
        <w:tc>
          <w:tcPr>
            <w:tcW w:w="0" w:type="auto"/>
            <w:vAlign w:val="center"/>
          </w:tcPr>
          <w:p w14:paraId="3646DA59" w14:textId="362100DE" w:rsidR="006C0719" w:rsidRPr="006C0719" w:rsidRDefault="006C0719" w:rsidP="006C0719">
            <w:pPr>
              <w:keepNext/>
              <w:keepLines/>
              <w:jc w:val="right"/>
              <w:rPr>
                <w:rFonts w:ascii="Arial" w:hAnsi="Arial" w:cs="Arial"/>
                <w:sz w:val="20"/>
                <w:szCs w:val="20"/>
              </w:rPr>
            </w:pPr>
          </w:p>
        </w:tc>
        <w:tc>
          <w:tcPr>
            <w:tcW w:w="0" w:type="auto"/>
            <w:vAlign w:val="center"/>
          </w:tcPr>
          <w:p w14:paraId="573357FB" w14:textId="622164B3" w:rsidR="006C0719" w:rsidRPr="006C0719" w:rsidRDefault="006C0719" w:rsidP="006C0719">
            <w:pPr>
              <w:keepNext/>
              <w:keepLines/>
              <w:jc w:val="right"/>
              <w:rPr>
                <w:rFonts w:ascii="Arial" w:hAnsi="Arial" w:cs="Arial"/>
                <w:sz w:val="20"/>
                <w:szCs w:val="20"/>
              </w:rPr>
            </w:pPr>
          </w:p>
        </w:tc>
        <w:tc>
          <w:tcPr>
            <w:tcW w:w="0" w:type="auto"/>
            <w:vAlign w:val="center"/>
          </w:tcPr>
          <w:p w14:paraId="67C3153E" w14:textId="7796755D" w:rsidR="006C0719" w:rsidRPr="006C0719" w:rsidRDefault="006C0719" w:rsidP="006C0719">
            <w:pPr>
              <w:keepNext/>
              <w:keepLines/>
              <w:jc w:val="right"/>
              <w:rPr>
                <w:rFonts w:ascii="Arial" w:hAnsi="Arial" w:cs="Arial"/>
                <w:sz w:val="20"/>
                <w:szCs w:val="20"/>
              </w:rPr>
            </w:pPr>
          </w:p>
        </w:tc>
      </w:tr>
      <w:tr w:rsidR="006C0719" w:rsidRPr="00FF45E1" w14:paraId="00AF6161" w14:textId="77777777" w:rsidTr="006C0719">
        <w:trPr>
          <w:jc w:val="center"/>
        </w:trPr>
        <w:tc>
          <w:tcPr>
            <w:tcW w:w="2088" w:type="dxa"/>
            <w:vAlign w:val="bottom"/>
          </w:tcPr>
          <w:p w14:paraId="6899EAE2"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Not in any LCA</w:t>
            </w:r>
          </w:p>
        </w:tc>
        <w:tc>
          <w:tcPr>
            <w:tcW w:w="1413" w:type="dxa"/>
            <w:vAlign w:val="center"/>
          </w:tcPr>
          <w:p w14:paraId="73D4BE6F" w14:textId="42AD6F05" w:rsidR="006C0719" w:rsidRPr="006C0719" w:rsidRDefault="006C0719" w:rsidP="006C0719">
            <w:pPr>
              <w:keepNext/>
              <w:keepLines/>
              <w:jc w:val="right"/>
              <w:rPr>
                <w:rFonts w:ascii="Arial" w:hAnsi="Arial" w:cs="Arial"/>
                <w:sz w:val="20"/>
                <w:szCs w:val="20"/>
              </w:rPr>
            </w:pPr>
            <w:r w:rsidRPr="006C0719">
              <w:rPr>
                <w:rFonts w:ascii="Arial" w:hAnsi="Arial" w:cs="Arial"/>
                <w:sz w:val="20"/>
                <w:szCs w:val="20"/>
              </w:rPr>
              <w:t>95</w:t>
            </w:r>
          </w:p>
        </w:tc>
        <w:tc>
          <w:tcPr>
            <w:tcW w:w="0" w:type="auto"/>
            <w:vAlign w:val="center"/>
          </w:tcPr>
          <w:p w14:paraId="439A9C77" w14:textId="1288F4D3" w:rsidR="006C0719" w:rsidRPr="006C0719" w:rsidRDefault="006C0719" w:rsidP="006C0719">
            <w:pPr>
              <w:keepNext/>
              <w:keepLines/>
              <w:jc w:val="right"/>
              <w:rPr>
                <w:rFonts w:ascii="Arial" w:hAnsi="Arial" w:cs="Arial"/>
                <w:sz w:val="20"/>
                <w:szCs w:val="20"/>
              </w:rPr>
            </w:pPr>
            <w:r w:rsidRPr="006C0719">
              <w:rPr>
                <w:rFonts w:ascii="Arial" w:hAnsi="Arial" w:cs="Arial"/>
                <w:sz w:val="20"/>
                <w:szCs w:val="20"/>
              </w:rPr>
              <w:t>229.6</w:t>
            </w:r>
          </w:p>
        </w:tc>
        <w:tc>
          <w:tcPr>
            <w:tcW w:w="0" w:type="auto"/>
            <w:vAlign w:val="center"/>
          </w:tcPr>
          <w:p w14:paraId="1D7149B0" w14:textId="2B250C9C" w:rsidR="006C0719" w:rsidRPr="006C0719" w:rsidRDefault="006C0719" w:rsidP="006C0719">
            <w:pPr>
              <w:keepNext/>
              <w:keepLines/>
              <w:jc w:val="right"/>
              <w:rPr>
                <w:rFonts w:ascii="Arial" w:hAnsi="Arial" w:cs="Arial"/>
                <w:sz w:val="20"/>
                <w:szCs w:val="20"/>
              </w:rPr>
            </w:pPr>
            <w:r w:rsidRPr="006C0719">
              <w:rPr>
                <w:rFonts w:ascii="Arial" w:hAnsi="Arial" w:cs="Arial"/>
                <w:sz w:val="20"/>
                <w:szCs w:val="20"/>
              </w:rPr>
              <w:t>71.2%</w:t>
            </w:r>
          </w:p>
        </w:tc>
        <w:tc>
          <w:tcPr>
            <w:tcW w:w="0" w:type="auto"/>
            <w:vAlign w:val="center"/>
          </w:tcPr>
          <w:p w14:paraId="1E24B138" w14:textId="47617ADD" w:rsidR="006C0719" w:rsidRPr="006C0719" w:rsidRDefault="006C0719" w:rsidP="006C0719">
            <w:pPr>
              <w:keepNext/>
              <w:keepLines/>
              <w:jc w:val="right"/>
              <w:rPr>
                <w:rFonts w:ascii="Arial" w:hAnsi="Arial" w:cs="Arial"/>
                <w:sz w:val="20"/>
                <w:szCs w:val="20"/>
              </w:rPr>
            </w:pPr>
            <w:r w:rsidRPr="006C0719">
              <w:rPr>
                <w:rFonts w:ascii="Arial" w:hAnsi="Arial" w:cs="Arial"/>
                <w:sz w:val="20"/>
                <w:szCs w:val="20"/>
              </w:rPr>
              <w:t>2.42</w:t>
            </w:r>
          </w:p>
        </w:tc>
      </w:tr>
      <w:tr w:rsidR="006C0719" w:rsidRPr="00FF45E1" w14:paraId="52D9E8AC" w14:textId="77777777" w:rsidTr="006C0719">
        <w:trPr>
          <w:jc w:val="center"/>
        </w:trPr>
        <w:tc>
          <w:tcPr>
            <w:tcW w:w="2088" w:type="dxa"/>
            <w:vAlign w:val="bottom"/>
          </w:tcPr>
          <w:p w14:paraId="633763E8" w14:textId="77777777" w:rsidR="006C0719" w:rsidRPr="007E0A27" w:rsidRDefault="006C0719" w:rsidP="006C0719">
            <w:pPr>
              <w:keepNext/>
              <w:keepLines/>
              <w:rPr>
                <w:rFonts w:ascii="Arial" w:hAnsi="Arial" w:cs="Arial"/>
                <w:sz w:val="20"/>
                <w:szCs w:val="20"/>
              </w:rPr>
            </w:pPr>
            <w:r w:rsidRPr="007E0A27">
              <w:rPr>
                <w:rFonts w:ascii="Arial" w:hAnsi="Arial" w:cs="Arial"/>
                <w:sz w:val="20"/>
                <w:szCs w:val="20"/>
              </w:rPr>
              <w:t>Sierra</w:t>
            </w:r>
          </w:p>
        </w:tc>
        <w:tc>
          <w:tcPr>
            <w:tcW w:w="1413" w:type="dxa"/>
            <w:vAlign w:val="center"/>
          </w:tcPr>
          <w:p w14:paraId="5F00B8C9" w14:textId="2B70CA88" w:rsidR="006C0719" w:rsidRPr="006C0719" w:rsidRDefault="006C0719" w:rsidP="006C0719">
            <w:pPr>
              <w:keepNext/>
              <w:keepLines/>
              <w:jc w:val="right"/>
              <w:rPr>
                <w:rFonts w:ascii="Arial" w:hAnsi="Arial" w:cs="Arial"/>
                <w:sz w:val="20"/>
                <w:szCs w:val="20"/>
              </w:rPr>
            </w:pPr>
          </w:p>
        </w:tc>
        <w:tc>
          <w:tcPr>
            <w:tcW w:w="0" w:type="auto"/>
            <w:vAlign w:val="center"/>
          </w:tcPr>
          <w:p w14:paraId="39BDE5D7" w14:textId="735F55F0" w:rsidR="006C0719" w:rsidRPr="006C0719" w:rsidRDefault="006C0719" w:rsidP="006C0719">
            <w:pPr>
              <w:keepNext/>
              <w:keepLines/>
              <w:jc w:val="right"/>
              <w:rPr>
                <w:rFonts w:ascii="Arial" w:hAnsi="Arial" w:cs="Arial"/>
                <w:sz w:val="20"/>
                <w:szCs w:val="20"/>
              </w:rPr>
            </w:pPr>
          </w:p>
        </w:tc>
        <w:tc>
          <w:tcPr>
            <w:tcW w:w="0" w:type="auto"/>
            <w:vAlign w:val="center"/>
          </w:tcPr>
          <w:p w14:paraId="45273562" w14:textId="4C79AFF0" w:rsidR="006C0719" w:rsidRPr="006C0719" w:rsidRDefault="006C0719" w:rsidP="006C0719">
            <w:pPr>
              <w:keepNext/>
              <w:keepLines/>
              <w:jc w:val="right"/>
              <w:rPr>
                <w:rFonts w:ascii="Arial" w:hAnsi="Arial" w:cs="Arial"/>
                <w:sz w:val="20"/>
                <w:szCs w:val="20"/>
              </w:rPr>
            </w:pPr>
          </w:p>
        </w:tc>
        <w:tc>
          <w:tcPr>
            <w:tcW w:w="0" w:type="auto"/>
            <w:vAlign w:val="center"/>
          </w:tcPr>
          <w:p w14:paraId="0C37C6FF" w14:textId="2F04212E" w:rsidR="006C0719" w:rsidRPr="006C0719" w:rsidRDefault="006C0719" w:rsidP="006C0719">
            <w:pPr>
              <w:keepNext/>
              <w:keepLines/>
              <w:jc w:val="right"/>
              <w:rPr>
                <w:rFonts w:ascii="Arial" w:hAnsi="Arial" w:cs="Arial"/>
                <w:sz w:val="20"/>
                <w:szCs w:val="20"/>
              </w:rPr>
            </w:pPr>
          </w:p>
        </w:tc>
      </w:tr>
      <w:tr w:rsidR="006C0719" w:rsidRPr="00FF45E1" w14:paraId="66AB9549" w14:textId="77777777" w:rsidTr="006C0719">
        <w:trPr>
          <w:jc w:val="center"/>
        </w:trPr>
        <w:tc>
          <w:tcPr>
            <w:tcW w:w="2088" w:type="dxa"/>
            <w:vAlign w:val="bottom"/>
          </w:tcPr>
          <w:p w14:paraId="0CBFE5A1" w14:textId="77777777" w:rsidR="006C0719" w:rsidRPr="007E0A27" w:rsidRDefault="006C0719" w:rsidP="006C0719">
            <w:pPr>
              <w:keepNext/>
              <w:keepLines/>
              <w:rPr>
                <w:rFonts w:ascii="Arial" w:hAnsi="Arial" w:cs="Arial"/>
                <w:sz w:val="20"/>
                <w:szCs w:val="20"/>
              </w:rPr>
            </w:pPr>
            <w:smartTag w:uri="urn:schemas-microsoft-com:office:smarttags" w:element="place">
              <w:smartTag w:uri="urn:schemas-microsoft-com:office:smarttags" w:element="City">
                <w:r w:rsidRPr="007E0A27">
                  <w:rPr>
                    <w:rFonts w:ascii="Arial" w:hAnsi="Arial" w:cs="Arial"/>
                    <w:sz w:val="20"/>
                    <w:szCs w:val="20"/>
                  </w:rPr>
                  <w:t>Stockton</w:t>
                </w:r>
              </w:smartTag>
            </w:smartTag>
          </w:p>
        </w:tc>
        <w:tc>
          <w:tcPr>
            <w:tcW w:w="1413" w:type="dxa"/>
            <w:vAlign w:val="center"/>
          </w:tcPr>
          <w:p w14:paraId="38D90E7B" w14:textId="5962318E" w:rsidR="006C0719" w:rsidRPr="006C0719" w:rsidRDefault="006C0719" w:rsidP="006C0719">
            <w:pPr>
              <w:keepNext/>
              <w:keepLines/>
              <w:jc w:val="right"/>
              <w:rPr>
                <w:rFonts w:ascii="Arial" w:hAnsi="Arial" w:cs="Arial"/>
                <w:sz w:val="20"/>
                <w:szCs w:val="20"/>
              </w:rPr>
            </w:pPr>
          </w:p>
        </w:tc>
        <w:tc>
          <w:tcPr>
            <w:tcW w:w="0" w:type="auto"/>
            <w:vAlign w:val="center"/>
          </w:tcPr>
          <w:p w14:paraId="7A0D58FA" w14:textId="5D4273D2" w:rsidR="006C0719" w:rsidRPr="006C0719" w:rsidRDefault="006C0719" w:rsidP="006C0719">
            <w:pPr>
              <w:keepNext/>
              <w:keepLines/>
              <w:jc w:val="right"/>
              <w:rPr>
                <w:rFonts w:ascii="Arial" w:hAnsi="Arial" w:cs="Arial"/>
                <w:sz w:val="20"/>
                <w:szCs w:val="20"/>
              </w:rPr>
            </w:pPr>
          </w:p>
        </w:tc>
        <w:tc>
          <w:tcPr>
            <w:tcW w:w="0" w:type="auto"/>
            <w:vAlign w:val="center"/>
          </w:tcPr>
          <w:p w14:paraId="6D1B55EB" w14:textId="76EF815B" w:rsidR="006C0719" w:rsidRPr="006C0719" w:rsidRDefault="006C0719" w:rsidP="006C0719">
            <w:pPr>
              <w:keepNext/>
              <w:keepLines/>
              <w:jc w:val="right"/>
              <w:rPr>
                <w:rFonts w:ascii="Arial" w:hAnsi="Arial" w:cs="Arial"/>
                <w:sz w:val="20"/>
                <w:szCs w:val="20"/>
              </w:rPr>
            </w:pPr>
          </w:p>
        </w:tc>
        <w:tc>
          <w:tcPr>
            <w:tcW w:w="0" w:type="auto"/>
            <w:vAlign w:val="center"/>
          </w:tcPr>
          <w:p w14:paraId="4CBC162D" w14:textId="21167E14" w:rsidR="006C0719" w:rsidRPr="006C0719" w:rsidRDefault="006C0719" w:rsidP="006C0719">
            <w:pPr>
              <w:keepNext/>
              <w:keepLines/>
              <w:jc w:val="right"/>
              <w:rPr>
                <w:rFonts w:ascii="Arial" w:hAnsi="Arial" w:cs="Arial"/>
                <w:sz w:val="20"/>
                <w:szCs w:val="20"/>
              </w:rPr>
            </w:pPr>
          </w:p>
        </w:tc>
      </w:tr>
      <w:tr w:rsidR="006C0719" w:rsidRPr="00FF45E1" w14:paraId="1E92B115" w14:textId="77777777" w:rsidTr="006C0719">
        <w:trPr>
          <w:jc w:val="center"/>
        </w:trPr>
        <w:tc>
          <w:tcPr>
            <w:tcW w:w="2088" w:type="dxa"/>
            <w:vAlign w:val="bottom"/>
          </w:tcPr>
          <w:p w14:paraId="5F8B02A9" w14:textId="77777777" w:rsidR="006C0719" w:rsidRPr="007E0A27" w:rsidRDefault="006C0719" w:rsidP="006C0719">
            <w:pPr>
              <w:keepNext/>
              <w:keepLines/>
              <w:rPr>
                <w:rFonts w:ascii="Arial" w:hAnsi="Arial" w:cs="Arial"/>
                <w:b/>
                <w:sz w:val="20"/>
                <w:szCs w:val="20"/>
              </w:rPr>
            </w:pPr>
            <w:r w:rsidRPr="007E0A27">
              <w:rPr>
                <w:rFonts w:ascii="Arial" w:hAnsi="Arial" w:cs="Arial"/>
                <w:b/>
                <w:sz w:val="20"/>
                <w:szCs w:val="20"/>
              </w:rPr>
              <w:t>TOTAL</w:t>
            </w:r>
          </w:p>
        </w:tc>
        <w:tc>
          <w:tcPr>
            <w:tcW w:w="1413" w:type="dxa"/>
            <w:vAlign w:val="center"/>
          </w:tcPr>
          <w:p w14:paraId="72F1F1DF" w14:textId="001648D6" w:rsidR="006C0719" w:rsidRPr="006C0719" w:rsidRDefault="006C0719" w:rsidP="006C0719">
            <w:pPr>
              <w:keepNext/>
              <w:keepLines/>
              <w:jc w:val="right"/>
              <w:rPr>
                <w:rFonts w:ascii="Arial" w:hAnsi="Arial" w:cs="Arial"/>
                <w:b/>
                <w:sz w:val="20"/>
                <w:szCs w:val="20"/>
              </w:rPr>
            </w:pPr>
            <w:r w:rsidRPr="006C0719">
              <w:rPr>
                <w:rFonts w:ascii="Arial" w:hAnsi="Arial" w:cs="Arial"/>
                <w:b/>
                <w:sz w:val="20"/>
                <w:szCs w:val="20"/>
              </w:rPr>
              <w:t>218</w:t>
            </w:r>
          </w:p>
        </w:tc>
        <w:tc>
          <w:tcPr>
            <w:tcW w:w="0" w:type="auto"/>
            <w:vAlign w:val="center"/>
          </w:tcPr>
          <w:p w14:paraId="46D8E81B" w14:textId="71F4F070" w:rsidR="006C0719" w:rsidRPr="006C0719" w:rsidRDefault="006C0719" w:rsidP="006C0719">
            <w:pPr>
              <w:keepNext/>
              <w:keepLines/>
              <w:jc w:val="right"/>
              <w:rPr>
                <w:rFonts w:ascii="Arial" w:hAnsi="Arial" w:cs="Arial"/>
                <w:b/>
                <w:sz w:val="20"/>
                <w:szCs w:val="20"/>
              </w:rPr>
            </w:pPr>
            <w:r w:rsidRPr="006C0719">
              <w:rPr>
                <w:rFonts w:ascii="Arial" w:hAnsi="Arial" w:cs="Arial"/>
                <w:b/>
                <w:sz w:val="20"/>
                <w:szCs w:val="20"/>
              </w:rPr>
              <w:t>322.6</w:t>
            </w:r>
          </w:p>
        </w:tc>
        <w:tc>
          <w:tcPr>
            <w:tcW w:w="0" w:type="auto"/>
            <w:vAlign w:val="center"/>
          </w:tcPr>
          <w:p w14:paraId="0A4D2376" w14:textId="77777777" w:rsidR="006C0719" w:rsidRPr="006C0719" w:rsidRDefault="006C0719" w:rsidP="006C0719">
            <w:pPr>
              <w:keepNext/>
              <w:keepLines/>
              <w:jc w:val="right"/>
              <w:rPr>
                <w:rFonts w:ascii="Arial" w:hAnsi="Arial" w:cs="Arial"/>
                <w:b/>
                <w:sz w:val="20"/>
                <w:szCs w:val="20"/>
              </w:rPr>
            </w:pPr>
          </w:p>
        </w:tc>
        <w:tc>
          <w:tcPr>
            <w:tcW w:w="0" w:type="auto"/>
            <w:vAlign w:val="center"/>
          </w:tcPr>
          <w:p w14:paraId="4C561C90" w14:textId="5CB8E974" w:rsidR="006C0719" w:rsidRPr="006C0719" w:rsidRDefault="006C0719" w:rsidP="006C0719">
            <w:pPr>
              <w:keepNext/>
              <w:keepLines/>
              <w:jc w:val="right"/>
              <w:rPr>
                <w:rFonts w:ascii="Arial" w:hAnsi="Arial" w:cs="Arial"/>
                <w:b/>
                <w:sz w:val="20"/>
                <w:szCs w:val="20"/>
              </w:rPr>
            </w:pPr>
            <w:r w:rsidRPr="006C0719">
              <w:rPr>
                <w:rFonts w:ascii="Arial" w:hAnsi="Arial" w:cs="Arial"/>
                <w:b/>
                <w:sz w:val="20"/>
                <w:szCs w:val="20"/>
              </w:rPr>
              <w:t>1.48</w:t>
            </w:r>
          </w:p>
        </w:tc>
      </w:tr>
    </w:tbl>
    <w:p w14:paraId="7CA03443" w14:textId="77777777" w:rsidR="008C4C93" w:rsidRDefault="008C4C93" w:rsidP="008C4C93">
      <w:pPr>
        <w:pStyle w:val="TableCaption"/>
      </w:pPr>
    </w:p>
    <w:p w14:paraId="2901F30A" w14:textId="1125B2B7" w:rsidR="00321E09" w:rsidRPr="003E1856" w:rsidRDefault="008F1160" w:rsidP="00AE3B4E">
      <w:pPr>
        <w:pStyle w:val="TableCaption"/>
        <w:spacing w:before="240"/>
      </w:pPr>
      <w:bookmarkStart w:id="47" w:name="_Toc226190228"/>
      <w:bookmarkStart w:id="48" w:name="_Toc415489005"/>
      <w:r>
        <w:t>Table 2.</w:t>
      </w:r>
      <w:r w:rsidR="00E47BA7">
        <w:t>5</w:t>
      </w:r>
      <w:r>
        <w:t xml:space="preserve">: </w:t>
      </w:r>
      <w:r w:rsidR="00321E09" w:rsidRPr="003E1856">
        <w:t>B</w:t>
      </w:r>
      <w:r>
        <w:t>I</w:t>
      </w:r>
      <w:r w:rsidR="00321E09" w:rsidRPr="003E1856">
        <w:t>P Enrollees by Local Capacity Area</w:t>
      </w:r>
      <w:r w:rsidR="00E32794" w:rsidRPr="003E1856">
        <w:t xml:space="preserve">, </w:t>
      </w:r>
      <w:r w:rsidR="00E32794" w:rsidRPr="003E1856">
        <w:rPr>
          <w:i/>
        </w:rPr>
        <w:t>S</w:t>
      </w:r>
      <w:r w:rsidR="00321E09" w:rsidRPr="003E1856">
        <w:rPr>
          <w:i/>
        </w:rPr>
        <w:t>CE</w:t>
      </w:r>
      <w:bookmarkEnd w:id="47"/>
      <w:bookmarkEnd w:id="48"/>
    </w:p>
    <w:tbl>
      <w:tblPr>
        <w:tblW w:w="7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864"/>
        <w:gridCol w:w="1363"/>
        <w:gridCol w:w="1228"/>
        <w:gridCol w:w="1174"/>
      </w:tblGrid>
      <w:tr w:rsidR="00AE3B4E" w:rsidRPr="003E1856" w14:paraId="0097D9C2" w14:textId="77777777" w:rsidTr="0005199B">
        <w:trPr>
          <w:jc w:val="center"/>
        </w:trPr>
        <w:tc>
          <w:tcPr>
            <w:tcW w:w="1915" w:type="dxa"/>
            <w:shd w:val="clear" w:color="auto" w:fill="D9E2F3"/>
            <w:vAlign w:val="center"/>
          </w:tcPr>
          <w:p w14:paraId="4AD5947C" w14:textId="77777777" w:rsidR="00AE3B4E" w:rsidRPr="003E1856" w:rsidRDefault="00AE3B4E" w:rsidP="00946A8E">
            <w:pPr>
              <w:jc w:val="center"/>
              <w:rPr>
                <w:rFonts w:ascii="Arial" w:hAnsi="Arial"/>
                <w:b/>
                <w:sz w:val="20"/>
              </w:rPr>
            </w:pPr>
            <w:r w:rsidRPr="003E1856">
              <w:rPr>
                <w:rFonts w:ascii="Arial" w:hAnsi="Arial"/>
                <w:b/>
                <w:sz w:val="20"/>
              </w:rPr>
              <w:t>Local Capacity Area</w:t>
            </w:r>
          </w:p>
        </w:tc>
        <w:tc>
          <w:tcPr>
            <w:tcW w:w="0" w:type="auto"/>
            <w:shd w:val="clear" w:color="auto" w:fill="D9E2F3"/>
            <w:vAlign w:val="center"/>
          </w:tcPr>
          <w:p w14:paraId="7EAE2851" w14:textId="77777777" w:rsidR="00AE3B4E" w:rsidRPr="003E1856" w:rsidRDefault="00AE3B4E" w:rsidP="00946A8E">
            <w:pPr>
              <w:keepNext/>
              <w:keepLines/>
              <w:jc w:val="center"/>
              <w:rPr>
                <w:rFonts w:ascii="Arial" w:hAnsi="Arial"/>
                <w:b/>
                <w:sz w:val="20"/>
                <w:szCs w:val="22"/>
              </w:rPr>
            </w:pPr>
            <w:r w:rsidRPr="003E1856">
              <w:rPr>
                <w:rFonts w:ascii="Arial" w:hAnsi="Arial" w:cs="Arial"/>
                <w:b/>
                <w:sz w:val="20"/>
                <w:szCs w:val="20"/>
              </w:rPr>
              <w:t># of Service Accounts</w:t>
            </w:r>
          </w:p>
        </w:tc>
        <w:tc>
          <w:tcPr>
            <w:tcW w:w="0" w:type="auto"/>
            <w:shd w:val="clear" w:color="auto" w:fill="D9E2F3"/>
            <w:vAlign w:val="center"/>
          </w:tcPr>
          <w:p w14:paraId="7A4DB25E" w14:textId="77777777" w:rsidR="00AE3B4E" w:rsidRPr="003E1856" w:rsidRDefault="00AE3B4E" w:rsidP="00946A8E">
            <w:pPr>
              <w:keepNext/>
              <w:keepLines/>
              <w:jc w:val="center"/>
              <w:rPr>
                <w:rFonts w:ascii="Arial" w:hAnsi="Arial"/>
                <w:b/>
                <w:sz w:val="20"/>
                <w:szCs w:val="22"/>
              </w:rPr>
            </w:pPr>
            <w:r w:rsidRPr="003E1856">
              <w:rPr>
                <w:rFonts w:ascii="Arial" w:hAnsi="Arial"/>
                <w:b/>
                <w:sz w:val="20"/>
                <w:szCs w:val="22"/>
              </w:rPr>
              <w:t>Sum of Max MW</w:t>
            </w:r>
          </w:p>
        </w:tc>
        <w:tc>
          <w:tcPr>
            <w:tcW w:w="0" w:type="auto"/>
            <w:shd w:val="clear" w:color="auto" w:fill="D9E2F3"/>
            <w:vAlign w:val="center"/>
          </w:tcPr>
          <w:p w14:paraId="11C0C599" w14:textId="77777777" w:rsidR="00AE3B4E" w:rsidRPr="003E1856" w:rsidRDefault="00AE3B4E" w:rsidP="00946A8E">
            <w:pPr>
              <w:keepNext/>
              <w:keepLines/>
              <w:jc w:val="center"/>
              <w:rPr>
                <w:rFonts w:ascii="Arial" w:hAnsi="Arial"/>
                <w:b/>
                <w:sz w:val="20"/>
                <w:szCs w:val="22"/>
              </w:rPr>
            </w:pPr>
            <w:r w:rsidRPr="003E1856">
              <w:rPr>
                <w:rFonts w:ascii="Arial" w:hAnsi="Arial"/>
                <w:b/>
                <w:sz w:val="20"/>
                <w:szCs w:val="22"/>
              </w:rPr>
              <w:t>% of Max MW</w:t>
            </w:r>
          </w:p>
        </w:tc>
        <w:tc>
          <w:tcPr>
            <w:tcW w:w="0" w:type="auto"/>
            <w:shd w:val="clear" w:color="auto" w:fill="D9E2F3"/>
            <w:vAlign w:val="center"/>
          </w:tcPr>
          <w:p w14:paraId="2B694564" w14:textId="77777777" w:rsidR="00AE3B4E" w:rsidRPr="003E1856" w:rsidRDefault="00AE3B4E" w:rsidP="000B4FFE">
            <w:pPr>
              <w:keepNext/>
              <w:keepLines/>
              <w:jc w:val="center"/>
              <w:rPr>
                <w:rFonts w:ascii="Arial" w:hAnsi="Arial"/>
                <w:b/>
                <w:sz w:val="20"/>
                <w:szCs w:val="22"/>
              </w:rPr>
            </w:pPr>
            <w:r w:rsidRPr="003E1856">
              <w:rPr>
                <w:rFonts w:ascii="Arial" w:hAnsi="Arial"/>
                <w:b/>
                <w:sz w:val="20"/>
                <w:szCs w:val="22"/>
              </w:rPr>
              <w:t>Ave. Max MW</w:t>
            </w:r>
          </w:p>
        </w:tc>
      </w:tr>
      <w:tr w:rsidR="00173834" w:rsidRPr="003E1856" w14:paraId="6CEC1ED1" w14:textId="77777777" w:rsidTr="00173834">
        <w:trPr>
          <w:jc w:val="center"/>
        </w:trPr>
        <w:tc>
          <w:tcPr>
            <w:tcW w:w="1915" w:type="dxa"/>
          </w:tcPr>
          <w:p w14:paraId="5C89A571" w14:textId="77777777" w:rsidR="00173834" w:rsidRPr="003E1856" w:rsidRDefault="00173834" w:rsidP="00173834">
            <w:pPr>
              <w:rPr>
                <w:rFonts w:ascii="Arial" w:hAnsi="Arial"/>
                <w:sz w:val="20"/>
              </w:rPr>
            </w:pPr>
            <w:r w:rsidRPr="003E1856">
              <w:rPr>
                <w:rFonts w:ascii="Arial" w:hAnsi="Arial"/>
                <w:sz w:val="20"/>
              </w:rPr>
              <w:t>LA Basin</w:t>
            </w:r>
          </w:p>
        </w:tc>
        <w:tc>
          <w:tcPr>
            <w:tcW w:w="0" w:type="auto"/>
            <w:vAlign w:val="center"/>
          </w:tcPr>
          <w:p w14:paraId="279CC236" w14:textId="2C009462" w:rsidR="00173834" w:rsidRPr="00173834" w:rsidRDefault="00173834" w:rsidP="00173834">
            <w:pPr>
              <w:jc w:val="right"/>
              <w:rPr>
                <w:rFonts w:ascii="Arial" w:hAnsi="Arial" w:cs="Arial"/>
                <w:sz w:val="20"/>
                <w:szCs w:val="20"/>
              </w:rPr>
            </w:pPr>
            <w:r w:rsidRPr="00173834">
              <w:rPr>
                <w:rFonts w:ascii="Arial" w:hAnsi="Arial" w:cs="Arial"/>
                <w:sz w:val="20"/>
                <w:szCs w:val="20"/>
              </w:rPr>
              <w:t>533</w:t>
            </w:r>
          </w:p>
        </w:tc>
        <w:tc>
          <w:tcPr>
            <w:tcW w:w="0" w:type="auto"/>
            <w:vAlign w:val="center"/>
          </w:tcPr>
          <w:p w14:paraId="43D34E9C" w14:textId="6E3B7018" w:rsidR="00173834" w:rsidRPr="00173834" w:rsidRDefault="00173834" w:rsidP="00173834">
            <w:pPr>
              <w:jc w:val="right"/>
              <w:rPr>
                <w:rFonts w:ascii="Arial" w:hAnsi="Arial" w:cs="Arial"/>
                <w:sz w:val="20"/>
                <w:szCs w:val="20"/>
              </w:rPr>
            </w:pPr>
            <w:r w:rsidRPr="00173834">
              <w:rPr>
                <w:rFonts w:ascii="Arial" w:hAnsi="Arial" w:cs="Arial"/>
                <w:sz w:val="20"/>
                <w:szCs w:val="20"/>
              </w:rPr>
              <w:t>594.5</w:t>
            </w:r>
          </w:p>
        </w:tc>
        <w:tc>
          <w:tcPr>
            <w:tcW w:w="0" w:type="auto"/>
            <w:vAlign w:val="center"/>
          </w:tcPr>
          <w:p w14:paraId="1C7B8AF8" w14:textId="62ACD3BA" w:rsidR="00173834" w:rsidRPr="00173834" w:rsidRDefault="00173834" w:rsidP="00173834">
            <w:pPr>
              <w:jc w:val="right"/>
              <w:rPr>
                <w:rFonts w:ascii="Arial" w:hAnsi="Arial" w:cs="Arial"/>
                <w:sz w:val="20"/>
                <w:szCs w:val="20"/>
              </w:rPr>
            </w:pPr>
            <w:r w:rsidRPr="00173834">
              <w:rPr>
                <w:rFonts w:ascii="Arial" w:hAnsi="Arial" w:cs="Arial"/>
                <w:sz w:val="20"/>
                <w:szCs w:val="20"/>
              </w:rPr>
              <w:t>76.5%</w:t>
            </w:r>
          </w:p>
        </w:tc>
        <w:tc>
          <w:tcPr>
            <w:tcW w:w="0" w:type="auto"/>
            <w:vAlign w:val="center"/>
          </w:tcPr>
          <w:p w14:paraId="4A8F0CD5" w14:textId="05CD4BAE" w:rsidR="00173834" w:rsidRPr="00173834" w:rsidRDefault="00173834" w:rsidP="00173834">
            <w:pPr>
              <w:jc w:val="right"/>
              <w:rPr>
                <w:rFonts w:ascii="Arial" w:hAnsi="Arial" w:cs="Arial"/>
                <w:sz w:val="20"/>
                <w:szCs w:val="20"/>
              </w:rPr>
            </w:pPr>
            <w:r w:rsidRPr="00173834">
              <w:rPr>
                <w:rFonts w:ascii="Arial" w:hAnsi="Arial" w:cs="Arial"/>
                <w:sz w:val="20"/>
                <w:szCs w:val="20"/>
              </w:rPr>
              <w:t>1.12</w:t>
            </w:r>
          </w:p>
        </w:tc>
      </w:tr>
      <w:tr w:rsidR="00173834" w:rsidRPr="003E1856" w14:paraId="36A17083" w14:textId="77777777" w:rsidTr="00173834">
        <w:trPr>
          <w:jc w:val="center"/>
        </w:trPr>
        <w:tc>
          <w:tcPr>
            <w:tcW w:w="1915" w:type="dxa"/>
          </w:tcPr>
          <w:p w14:paraId="39673728" w14:textId="77777777" w:rsidR="00173834" w:rsidRPr="003E1856" w:rsidRDefault="00173834" w:rsidP="00173834">
            <w:pPr>
              <w:rPr>
                <w:rFonts w:ascii="Arial" w:hAnsi="Arial"/>
                <w:sz w:val="20"/>
              </w:rPr>
            </w:pPr>
            <w:r w:rsidRPr="003E1856">
              <w:rPr>
                <w:rFonts w:ascii="Arial" w:hAnsi="Arial"/>
                <w:sz w:val="20"/>
              </w:rPr>
              <w:t>Outside LA Basin</w:t>
            </w:r>
          </w:p>
        </w:tc>
        <w:tc>
          <w:tcPr>
            <w:tcW w:w="0" w:type="auto"/>
            <w:vAlign w:val="center"/>
          </w:tcPr>
          <w:p w14:paraId="47BBBD7E" w14:textId="3163FED3" w:rsidR="00173834" w:rsidRPr="00173834" w:rsidRDefault="00173834" w:rsidP="00173834">
            <w:pPr>
              <w:jc w:val="right"/>
              <w:rPr>
                <w:rFonts w:ascii="Arial" w:hAnsi="Arial" w:cs="Arial"/>
                <w:sz w:val="20"/>
                <w:szCs w:val="20"/>
              </w:rPr>
            </w:pPr>
          </w:p>
        </w:tc>
        <w:tc>
          <w:tcPr>
            <w:tcW w:w="0" w:type="auto"/>
            <w:vAlign w:val="center"/>
          </w:tcPr>
          <w:p w14:paraId="08615AF3" w14:textId="4F48A80E" w:rsidR="00173834" w:rsidRPr="00173834" w:rsidRDefault="00173834" w:rsidP="00173834">
            <w:pPr>
              <w:jc w:val="right"/>
              <w:rPr>
                <w:rFonts w:ascii="Arial" w:hAnsi="Arial" w:cs="Arial"/>
                <w:sz w:val="20"/>
                <w:szCs w:val="20"/>
              </w:rPr>
            </w:pPr>
          </w:p>
        </w:tc>
        <w:tc>
          <w:tcPr>
            <w:tcW w:w="0" w:type="auto"/>
            <w:vAlign w:val="center"/>
          </w:tcPr>
          <w:p w14:paraId="19EADD65" w14:textId="4EF95BEE" w:rsidR="00173834" w:rsidRPr="00173834" w:rsidRDefault="00173834" w:rsidP="00173834">
            <w:pPr>
              <w:jc w:val="right"/>
              <w:rPr>
                <w:rFonts w:ascii="Arial" w:hAnsi="Arial" w:cs="Arial"/>
                <w:sz w:val="20"/>
                <w:szCs w:val="20"/>
              </w:rPr>
            </w:pPr>
          </w:p>
        </w:tc>
        <w:tc>
          <w:tcPr>
            <w:tcW w:w="0" w:type="auto"/>
            <w:vAlign w:val="center"/>
          </w:tcPr>
          <w:p w14:paraId="623C193F" w14:textId="2E1AA359" w:rsidR="00173834" w:rsidRPr="00173834" w:rsidRDefault="00173834" w:rsidP="00173834">
            <w:pPr>
              <w:jc w:val="right"/>
              <w:rPr>
                <w:rFonts w:ascii="Arial" w:hAnsi="Arial" w:cs="Arial"/>
                <w:sz w:val="20"/>
                <w:szCs w:val="20"/>
              </w:rPr>
            </w:pPr>
          </w:p>
        </w:tc>
      </w:tr>
      <w:tr w:rsidR="00173834" w:rsidRPr="003E1856" w14:paraId="452983E1" w14:textId="77777777" w:rsidTr="00173834">
        <w:trPr>
          <w:jc w:val="center"/>
        </w:trPr>
        <w:tc>
          <w:tcPr>
            <w:tcW w:w="1915" w:type="dxa"/>
          </w:tcPr>
          <w:p w14:paraId="6A661745" w14:textId="77777777" w:rsidR="00173834" w:rsidRPr="003E1856" w:rsidRDefault="00173834" w:rsidP="00173834">
            <w:pPr>
              <w:rPr>
                <w:rFonts w:ascii="Arial" w:hAnsi="Arial"/>
                <w:sz w:val="20"/>
              </w:rPr>
            </w:pPr>
            <w:smartTag w:uri="urn:schemas-microsoft-com:office:smarttags" w:element="place">
              <w:smartTag w:uri="urn:schemas-microsoft-com:office:smarttags" w:element="City">
                <w:r w:rsidRPr="003E1856">
                  <w:rPr>
                    <w:rFonts w:ascii="Arial" w:hAnsi="Arial"/>
                    <w:sz w:val="20"/>
                  </w:rPr>
                  <w:t>Ventura</w:t>
                </w:r>
              </w:smartTag>
            </w:smartTag>
          </w:p>
        </w:tc>
        <w:tc>
          <w:tcPr>
            <w:tcW w:w="0" w:type="auto"/>
            <w:vAlign w:val="center"/>
          </w:tcPr>
          <w:p w14:paraId="6997AF6B" w14:textId="11B54461" w:rsidR="00173834" w:rsidRPr="00173834" w:rsidRDefault="00173834" w:rsidP="00173834">
            <w:pPr>
              <w:jc w:val="right"/>
              <w:rPr>
                <w:rFonts w:ascii="Arial" w:hAnsi="Arial" w:cs="Arial"/>
                <w:sz w:val="20"/>
                <w:szCs w:val="20"/>
              </w:rPr>
            </w:pPr>
          </w:p>
        </w:tc>
        <w:tc>
          <w:tcPr>
            <w:tcW w:w="0" w:type="auto"/>
            <w:vAlign w:val="center"/>
          </w:tcPr>
          <w:p w14:paraId="7B3197A6" w14:textId="020194C7" w:rsidR="00173834" w:rsidRPr="00173834" w:rsidRDefault="00173834" w:rsidP="00173834">
            <w:pPr>
              <w:jc w:val="right"/>
              <w:rPr>
                <w:rFonts w:ascii="Arial" w:hAnsi="Arial" w:cs="Arial"/>
                <w:sz w:val="20"/>
                <w:szCs w:val="20"/>
              </w:rPr>
            </w:pPr>
          </w:p>
        </w:tc>
        <w:tc>
          <w:tcPr>
            <w:tcW w:w="0" w:type="auto"/>
            <w:vAlign w:val="center"/>
          </w:tcPr>
          <w:p w14:paraId="3893BE35" w14:textId="2BB60C46" w:rsidR="00173834" w:rsidRPr="00173834" w:rsidRDefault="00173834" w:rsidP="00173834">
            <w:pPr>
              <w:jc w:val="right"/>
              <w:rPr>
                <w:rFonts w:ascii="Arial" w:hAnsi="Arial" w:cs="Arial"/>
                <w:sz w:val="20"/>
                <w:szCs w:val="20"/>
              </w:rPr>
            </w:pPr>
          </w:p>
        </w:tc>
        <w:tc>
          <w:tcPr>
            <w:tcW w:w="0" w:type="auto"/>
            <w:vAlign w:val="center"/>
          </w:tcPr>
          <w:p w14:paraId="16F4B752" w14:textId="6433A10B" w:rsidR="00173834" w:rsidRPr="00173834" w:rsidRDefault="00173834" w:rsidP="00173834">
            <w:pPr>
              <w:jc w:val="right"/>
              <w:rPr>
                <w:rFonts w:ascii="Arial" w:hAnsi="Arial" w:cs="Arial"/>
                <w:sz w:val="20"/>
                <w:szCs w:val="20"/>
              </w:rPr>
            </w:pPr>
          </w:p>
        </w:tc>
      </w:tr>
      <w:tr w:rsidR="00173834" w:rsidRPr="00FF45E1" w14:paraId="4F7B5ED4" w14:textId="77777777" w:rsidTr="00173834">
        <w:trPr>
          <w:jc w:val="center"/>
        </w:trPr>
        <w:tc>
          <w:tcPr>
            <w:tcW w:w="1915" w:type="dxa"/>
          </w:tcPr>
          <w:p w14:paraId="64B52654" w14:textId="77777777" w:rsidR="00173834" w:rsidRPr="003E1856" w:rsidRDefault="00173834" w:rsidP="00173834">
            <w:pPr>
              <w:rPr>
                <w:rFonts w:ascii="Arial" w:hAnsi="Arial"/>
                <w:b/>
                <w:sz w:val="20"/>
              </w:rPr>
            </w:pPr>
            <w:r w:rsidRPr="003E1856">
              <w:rPr>
                <w:rFonts w:ascii="Arial" w:hAnsi="Arial"/>
                <w:b/>
                <w:sz w:val="20"/>
              </w:rPr>
              <w:t>TOTAL</w:t>
            </w:r>
          </w:p>
        </w:tc>
        <w:tc>
          <w:tcPr>
            <w:tcW w:w="0" w:type="auto"/>
            <w:vAlign w:val="center"/>
          </w:tcPr>
          <w:p w14:paraId="148C4B52" w14:textId="2DC5990E" w:rsidR="00173834" w:rsidRPr="00173834" w:rsidRDefault="00173834" w:rsidP="00173834">
            <w:pPr>
              <w:jc w:val="right"/>
              <w:rPr>
                <w:rFonts w:ascii="Arial" w:hAnsi="Arial" w:cs="Arial"/>
                <w:b/>
                <w:sz w:val="20"/>
                <w:szCs w:val="20"/>
              </w:rPr>
            </w:pPr>
            <w:r w:rsidRPr="00173834">
              <w:rPr>
                <w:rFonts w:ascii="Arial" w:hAnsi="Arial" w:cs="Arial"/>
                <w:b/>
                <w:sz w:val="20"/>
                <w:szCs w:val="20"/>
              </w:rPr>
              <w:t>620</w:t>
            </w:r>
          </w:p>
        </w:tc>
        <w:tc>
          <w:tcPr>
            <w:tcW w:w="0" w:type="auto"/>
            <w:vAlign w:val="center"/>
          </w:tcPr>
          <w:p w14:paraId="6532445B" w14:textId="1D8544B9" w:rsidR="00173834" w:rsidRPr="00173834" w:rsidRDefault="00173834" w:rsidP="00173834">
            <w:pPr>
              <w:jc w:val="right"/>
              <w:rPr>
                <w:rFonts w:ascii="Arial" w:hAnsi="Arial" w:cs="Arial"/>
                <w:b/>
                <w:sz w:val="20"/>
                <w:szCs w:val="20"/>
              </w:rPr>
            </w:pPr>
            <w:r w:rsidRPr="00173834">
              <w:rPr>
                <w:rFonts w:ascii="Arial" w:hAnsi="Arial" w:cs="Arial"/>
                <w:b/>
                <w:sz w:val="20"/>
                <w:szCs w:val="20"/>
              </w:rPr>
              <w:t>777.3</w:t>
            </w:r>
          </w:p>
        </w:tc>
        <w:tc>
          <w:tcPr>
            <w:tcW w:w="0" w:type="auto"/>
            <w:vAlign w:val="center"/>
          </w:tcPr>
          <w:p w14:paraId="54754068" w14:textId="77777777" w:rsidR="00173834" w:rsidRPr="00173834" w:rsidRDefault="00173834" w:rsidP="00173834">
            <w:pPr>
              <w:jc w:val="right"/>
              <w:rPr>
                <w:rFonts w:ascii="Arial" w:hAnsi="Arial" w:cs="Arial"/>
                <w:b/>
                <w:sz w:val="20"/>
                <w:szCs w:val="20"/>
              </w:rPr>
            </w:pPr>
          </w:p>
        </w:tc>
        <w:tc>
          <w:tcPr>
            <w:tcW w:w="0" w:type="auto"/>
            <w:vAlign w:val="center"/>
          </w:tcPr>
          <w:p w14:paraId="3134BE75" w14:textId="4A99F2DC" w:rsidR="00173834" w:rsidRPr="00173834" w:rsidRDefault="00173834" w:rsidP="00173834">
            <w:pPr>
              <w:jc w:val="right"/>
              <w:rPr>
                <w:rFonts w:ascii="Arial" w:hAnsi="Arial" w:cs="Arial"/>
                <w:b/>
                <w:sz w:val="20"/>
                <w:szCs w:val="20"/>
              </w:rPr>
            </w:pPr>
            <w:r w:rsidRPr="00173834">
              <w:rPr>
                <w:rFonts w:ascii="Arial" w:hAnsi="Arial" w:cs="Arial"/>
                <w:b/>
                <w:sz w:val="20"/>
                <w:szCs w:val="20"/>
              </w:rPr>
              <w:t>1.25</w:t>
            </w:r>
          </w:p>
        </w:tc>
      </w:tr>
    </w:tbl>
    <w:p w14:paraId="4AF1BA11" w14:textId="77777777" w:rsidR="00D45D8A" w:rsidRDefault="00D45D8A" w:rsidP="0094443D"/>
    <w:p w14:paraId="038F3D8C" w14:textId="77777777" w:rsidR="00321E09" w:rsidRDefault="00321E09" w:rsidP="008943AD">
      <w:pPr>
        <w:pStyle w:val="Heading2"/>
      </w:pPr>
      <w:bookmarkStart w:id="49" w:name="_Toc415488948"/>
      <w:r>
        <w:t>2.3 Event Days</w:t>
      </w:r>
      <w:bookmarkEnd w:id="49"/>
    </w:p>
    <w:p w14:paraId="2938C6B4" w14:textId="42C6FC1C" w:rsidR="00321E09" w:rsidRDefault="00321E09" w:rsidP="00AC2CB7">
      <w:r>
        <w:t>Table 2.</w:t>
      </w:r>
      <w:r w:rsidR="00E47BA7">
        <w:t>6</w:t>
      </w:r>
      <w:r>
        <w:t xml:space="preserve"> lists B</w:t>
      </w:r>
      <w:r w:rsidR="00AD1A7C">
        <w:t>I</w:t>
      </w:r>
      <w:r>
        <w:t>P event days for the t</w:t>
      </w:r>
      <w:r w:rsidR="0006560A">
        <w:t xml:space="preserve">hree </w:t>
      </w:r>
      <w:r w:rsidR="001530A9">
        <w:t>IOUs</w:t>
      </w:r>
      <w:r>
        <w:t xml:space="preserve"> in 201</w:t>
      </w:r>
      <w:r w:rsidR="00152B65">
        <w:t>4</w:t>
      </w:r>
      <w:r>
        <w:t xml:space="preserve">. </w:t>
      </w:r>
      <w:r w:rsidR="00E955B5">
        <w:t>All of the utilities called an event on February 6, 2014. SDG&amp;E called two additional program events on May 14</w:t>
      </w:r>
      <w:r w:rsidR="00E955B5" w:rsidRPr="00E955B5">
        <w:rPr>
          <w:vertAlign w:val="superscript"/>
        </w:rPr>
        <w:t>th</w:t>
      </w:r>
      <w:r w:rsidR="00E955B5">
        <w:t xml:space="preserve"> </w:t>
      </w:r>
      <w:r w:rsidR="00E955B5">
        <w:lastRenderedPageBreak/>
        <w:t>and 16</w:t>
      </w:r>
      <w:r w:rsidR="00E955B5" w:rsidRPr="00E955B5">
        <w:rPr>
          <w:vertAlign w:val="superscript"/>
        </w:rPr>
        <w:t>th</w:t>
      </w:r>
      <w:r w:rsidR="00E955B5">
        <w:t>. PG&amp;E called two re-test events on April 17</w:t>
      </w:r>
      <w:r w:rsidR="00E955B5" w:rsidRPr="00E955B5">
        <w:rPr>
          <w:vertAlign w:val="superscript"/>
        </w:rPr>
        <w:t>th</w:t>
      </w:r>
      <w:r w:rsidR="00E955B5">
        <w:t xml:space="preserve"> and May 15</w:t>
      </w:r>
      <w:r w:rsidR="00E955B5" w:rsidRPr="00E955B5">
        <w:rPr>
          <w:vertAlign w:val="superscript"/>
        </w:rPr>
        <w:t>th</w:t>
      </w:r>
      <w:r w:rsidR="00E955B5">
        <w:t xml:space="preserve"> and an additional test event on September 11</w:t>
      </w:r>
      <w:r w:rsidR="00E955B5" w:rsidRPr="00E955B5">
        <w:rPr>
          <w:vertAlign w:val="superscript"/>
        </w:rPr>
        <w:t>th</w:t>
      </w:r>
      <w:r w:rsidR="00E955B5">
        <w:t xml:space="preserve">. </w:t>
      </w:r>
    </w:p>
    <w:p w14:paraId="022BACA1" w14:textId="77777777" w:rsidR="00006EAE" w:rsidRDefault="00006EAE" w:rsidP="00AC2CB7"/>
    <w:p w14:paraId="608A49AB" w14:textId="5165A73D" w:rsidR="00321E09" w:rsidRPr="00852320" w:rsidRDefault="00E47BA7" w:rsidP="00480675">
      <w:pPr>
        <w:pStyle w:val="TableCaption"/>
        <w:keepNext/>
        <w:keepLines/>
      </w:pPr>
      <w:bookmarkStart w:id="50" w:name="_Toc226190229"/>
      <w:bookmarkStart w:id="51" w:name="_Toc415489006"/>
      <w:r>
        <w:t>Table 2.6</w:t>
      </w:r>
      <w:r w:rsidR="00172D95">
        <w:t xml:space="preserve">: </w:t>
      </w:r>
      <w:r w:rsidR="00321E09" w:rsidRPr="00852320">
        <w:t>B</w:t>
      </w:r>
      <w:r w:rsidR="00172D95">
        <w:t>I</w:t>
      </w:r>
      <w:r w:rsidR="00321E09" w:rsidRPr="00852320">
        <w:t>P Event</w:t>
      </w:r>
      <w:r w:rsidR="00C53715" w:rsidRPr="00852320">
        <w:t xml:space="preserve"> Day</w:t>
      </w:r>
      <w:r w:rsidR="00321E09" w:rsidRPr="00852320">
        <w:t>s</w:t>
      </w:r>
      <w:bookmarkEnd w:id="50"/>
      <w:bookmarkEnd w:id="5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406"/>
        <w:gridCol w:w="628"/>
        <w:gridCol w:w="1083"/>
        <w:gridCol w:w="928"/>
      </w:tblGrid>
      <w:tr w:rsidR="0027601F" w14:paraId="69B3C0AC" w14:textId="77777777" w:rsidTr="0005199B">
        <w:trPr>
          <w:jc w:val="center"/>
        </w:trPr>
        <w:tc>
          <w:tcPr>
            <w:tcW w:w="0" w:type="auto"/>
            <w:shd w:val="clear" w:color="auto" w:fill="D9E2F3"/>
            <w:vAlign w:val="bottom"/>
          </w:tcPr>
          <w:p w14:paraId="34391345" w14:textId="77777777" w:rsidR="0027601F" w:rsidRPr="007E0A27" w:rsidRDefault="0027601F" w:rsidP="00480675">
            <w:pPr>
              <w:keepNext/>
              <w:keepLines/>
              <w:jc w:val="center"/>
              <w:rPr>
                <w:rFonts w:ascii="Arial" w:hAnsi="Arial" w:cs="Arial"/>
                <w:b/>
                <w:bCs/>
                <w:sz w:val="20"/>
                <w:szCs w:val="20"/>
              </w:rPr>
            </w:pPr>
            <w:r w:rsidRPr="007E0A27">
              <w:rPr>
                <w:rFonts w:ascii="Arial" w:hAnsi="Arial" w:cs="Arial"/>
                <w:b/>
                <w:bCs/>
                <w:sz w:val="20"/>
                <w:szCs w:val="20"/>
              </w:rPr>
              <w:t>Date</w:t>
            </w:r>
          </w:p>
        </w:tc>
        <w:tc>
          <w:tcPr>
            <w:tcW w:w="0" w:type="auto"/>
            <w:shd w:val="clear" w:color="auto" w:fill="D9E2F3"/>
            <w:vAlign w:val="bottom"/>
          </w:tcPr>
          <w:p w14:paraId="0CA50900" w14:textId="77777777" w:rsidR="0027601F" w:rsidRPr="007E0A27" w:rsidRDefault="0027601F" w:rsidP="00480675">
            <w:pPr>
              <w:keepNext/>
              <w:keepLines/>
              <w:jc w:val="center"/>
              <w:rPr>
                <w:rFonts w:ascii="Arial" w:hAnsi="Arial" w:cs="Arial"/>
                <w:b/>
                <w:bCs/>
                <w:sz w:val="20"/>
                <w:szCs w:val="20"/>
              </w:rPr>
            </w:pPr>
            <w:r w:rsidRPr="007E0A27">
              <w:rPr>
                <w:rFonts w:ascii="Arial" w:hAnsi="Arial" w:cs="Arial"/>
                <w:b/>
                <w:bCs/>
                <w:sz w:val="20"/>
                <w:szCs w:val="20"/>
              </w:rPr>
              <w:t>Day of Week</w:t>
            </w:r>
          </w:p>
        </w:tc>
        <w:tc>
          <w:tcPr>
            <w:tcW w:w="0" w:type="auto"/>
            <w:shd w:val="clear" w:color="auto" w:fill="D9E2F3"/>
            <w:vAlign w:val="bottom"/>
          </w:tcPr>
          <w:p w14:paraId="3256EAB1" w14:textId="77777777" w:rsidR="0027601F" w:rsidRPr="007E0A27" w:rsidRDefault="0027601F" w:rsidP="00480675">
            <w:pPr>
              <w:keepNext/>
              <w:keepLines/>
              <w:jc w:val="center"/>
              <w:rPr>
                <w:rFonts w:ascii="Arial" w:hAnsi="Arial" w:cs="Arial"/>
                <w:b/>
                <w:bCs/>
                <w:sz w:val="20"/>
                <w:szCs w:val="20"/>
              </w:rPr>
            </w:pPr>
            <w:r w:rsidRPr="007E0A27">
              <w:rPr>
                <w:rFonts w:ascii="Arial" w:hAnsi="Arial" w:cs="Arial"/>
                <w:b/>
                <w:bCs/>
                <w:sz w:val="20"/>
                <w:szCs w:val="20"/>
              </w:rPr>
              <w:t>SCE</w:t>
            </w:r>
          </w:p>
        </w:tc>
        <w:tc>
          <w:tcPr>
            <w:tcW w:w="0" w:type="auto"/>
            <w:shd w:val="clear" w:color="auto" w:fill="D9E2F3"/>
            <w:vAlign w:val="bottom"/>
          </w:tcPr>
          <w:p w14:paraId="4B7649CA" w14:textId="77777777" w:rsidR="0027601F" w:rsidRPr="007E0A27" w:rsidRDefault="0027601F" w:rsidP="00480675">
            <w:pPr>
              <w:keepNext/>
              <w:keepLines/>
              <w:jc w:val="center"/>
              <w:rPr>
                <w:rFonts w:ascii="Arial" w:hAnsi="Arial" w:cs="Arial"/>
                <w:b/>
                <w:bCs/>
                <w:sz w:val="20"/>
                <w:szCs w:val="20"/>
              </w:rPr>
            </w:pPr>
            <w:r w:rsidRPr="007E0A27">
              <w:rPr>
                <w:rFonts w:ascii="Arial" w:hAnsi="Arial" w:cs="Arial"/>
                <w:b/>
                <w:bCs/>
                <w:sz w:val="20"/>
                <w:szCs w:val="20"/>
              </w:rPr>
              <w:t>PG&amp;E</w:t>
            </w:r>
          </w:p>
        </w:tc>
        <w:tc>
          <w:tcPr>
            <w:tcW w:w="0" w:type="auto"/>
            <w:shd w:val="clear" w:color="auto" w:fill="D9E2F3"/>
          </w:tcPr>
          <w:p w14:paraId="13F99AC9" w14:textId="77777777" w:rsidR="0027601F" w:rsidRPr="007E0A27" w:rsidRDefault="0027601F" w:rsidP="00480675">
            <w:pPr>
              <w:keepNext/>
              <w:keepLines/>
              <w:jc w:val="center"/>
              <w:rPr>
                <w:rFonts w:ascii="Arial" w:hAnsi="Arial" w:cs="Arial"/>
                <w:b/>
                <w:bCs/>
                <w:sz w:val="20"/>
                <w:szCs w:val="20"/>
              </w:rPr>
            </w:pPr>
            <w:r>
              <w:rPr>
                <w:rFonts w:ascii="Arial" w:hAnsi="Arial" w:cs="Arial"/>
                <w:b/>
                <w:bCs/>
                <w:sz w:val="20"/>
                <w:szCs w:val="20"/>
              </w:rPr>
              <w:t>SDG&amp;E</w:t>
            </w:r>
          </w:p>
        </w:tc>
      </w:tr>
      <w:tr w:rsidR="00172D95" w14:paraId="52E120C5" w14:textId="77777777" w:rsidTr="003C6CFC">
        <w:trPr>
          <w:jc w:val="center"/>
        </w:trPr>
        <w:tc>
          <w:tcPr>
            <w:tcW w:w="0" w:type="auto"/>
            <w:vAlign w:val="bottom"/>
          </w:tcPr>
          <w:p w14:paraId="2FF37468" w14:textId="551C6A13" w:rsidR="00172D95" w:rsidRPr="00172D95" w:rsidRDefault="00172D95" w:rsidP="00172D95">
            <w:pPr>
              <w:keepNext/>
              <w:keepLines/>
              <w:rPr>
                <w:rFonts w:ascii="Arial" w:hAnsi="Arial" w:cs="Arial"/>
                <w:sz w:val="20"/>
                <w:szCs w:val="20"/>
              </w:rPr>
            </w:pPr>
            <w:r w:rsidRPr="00172D95">
              <w:rPr>
                <w:rFonts w:ascii="Arial" w:hAnsi="Arial" w:cs="Arial"/>
                <w:color w:val="000000"/>
                <w:sz w:val="20"/>
                <w:szCs w:val="20"/>
              </w:rPr>
              <w:t>2/6/2014</w:t>
            </w:r>
          </w:p>
        </w:tc>
        <w:tc>
          <w:tcPr>
            <w:tcW w:w="0" w:type="auto"/>
            <w:vAlign w:val="bottom"/>
          </w:tcPr>
          <w:p w14:paraId="29C57F2B" w14:textId="2ABFCD55"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Thursday</w:t>
            </w:r>
          </w:p>
        </w:tc>
        <w:tc>
          <w:tcPr>
            <w:tcW w:w="0" w:type="auto"/>
            <w:vAlign w:val="bottom"/>
          </w:tcPr>
          <w:p w14:paraId="18AC4FBE" w14:textId="1B34F3D9"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1</w:t>
            </w:r>
          </w:p>
        </w:tc>
        <w:tc>
          <w:tcPr>
            <w:tcW w:w="0" w:type="auto"/>
            <w:vAlign w:val="bottom"/>
          </w:tcPr>
          <w:p w14:paraId="257BEB91" w14:textId="597B87A0"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1</w:t>
            </w:r>
          </w:p>
        </w:tc>
        <w:tc>
          <w:tcPr>
            <w:tcW w:w="0" w:type="auto"/>
            <w:vAlign w:val="bottom"/>
          </w:tcPr>
          <w:p w14:paraId="1E08CE5A" w14:textId="1C41BEC4"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1</w:t>
            </w:r>
          </w:p>
        </w:tc>
      </w:tr>
      <w:tr w:rsidR="00172D95" w14:paraId="79BC2322" w14:textId="77777777" w:rsidTr="003C6CFC">
        <w:trPr>
          <w:jc w:val="center"/>
        </w:trPr>
        <w:tc>
          <w:tcPr>
            <w:tcW w:w="0" w:type="auto"/>
            <w:vAlign w:val="bottom"/>
          </w:tcPr>
          <w:p w14:paraId="21B309BF" w14:textId="377D6927" w:rsidR="00172D95" w:rsidRPr="00172D95" w:rsidRDefault="00172D95" w:rsidP="00172D95">
            <w:pPr>
              <w:keepNext/>
              <w:keepLines/>
              <w:rPr>
                <w:rFonts w:ascii="Arial" w:hAnsi="Arial" w:cs="Arial"/>
                <w:sz w:val="20"/>
                <w:szCs w:val="20"/>
              </w:rPr>
            </w:pPr>
            <w:r w:rsidRPr="00172D95">
              <w:rPr>
                <w:rFonts w:ascii="Arial" w:hAnsi="Arial" w:cs="Arial"/>
                <w:color w:val="000000"/>
                <w:sz w:val="20"/>
                <w:szCs w:val="20"/>
              </w:rPr>
              <w:t>4/17/2014</w:t>
            </w:r>
          </w:p>
        </w:tc>
        <w:tc>
          <w:tcPr>
            <w:tcW w:w="0" w:type="auto"/>
            <w:vAlign w:val="bottom"/>
          </w:tcPr>
          <w:p w14:paraId="6C89B89B" w14:textId="365CF81B"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Thursday</w:t>
            </w:r>
          </w:p>
        </w:tc>
        <w:tc>
          <w:tcPr>
            <w:tcW w:w="0" w:type="auto"/>
            <w:vAlign w:val="bottom"/>
          </w:tcPr>
          <w:p w14:paraId="7A7BF270" w14:textId="77777777" w:rsidR="00172D95" w:rsidRPr="00172D95" w:rsidRDefault="00172D95" w:rsidP="00172D95">
            <w:pPr>
              <w:keepNext/>
              <w:keepLines/>
              <w:jc w:val="center"/>
              <w:rPr>
                <w:rFonts w:ascii="Arial" w:hAnsi="Arial" w:cs="Arial"/>
                <w:sz w:val="20"/>
                <w:szCs w:val="20"/>
              </w:rPr>
            </w:pPr>
          </w:p>
        </w:tc>
        <w:tc>
          <w:tcPr>
            <w:tcW w:w="0" w:type="auto"/>
            <w:vAlign w:val="bottom"/>
          </w:tcPr>
          <w:p w14:paraId="0010B4B1" w14:textId="27A6FA5A"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2 (re-test)</w:t>
            </w:r>
          </w:p>
        </w:tc>
        <w:tc>
          <w:tcPr>
            <w:tcW w:w="0" w:type="auto"/>
            <w:vAlign w:val="bottom"/>
          </w:tcPr>
          <w:p w14:paraId="1BF0A379" w14:textId="4BDF20AB" w:rsidR="00172D95" w:rsidRPr="00172D95" w:rsidRDefault="00172D95" w:rsidP="00172D95">
            <w:pPr>
              <w:keepNext/>
              <w:keepLines/>
              <w:jc w:val="center"/>
              <w:rPr>
                <w:rFonts w:ascii="Arial" w:hAnsi="Arial" w:cs="Arial"/>
                <w:sz w:val="20"/>
                <w:szCs w:val="20"/>
              </w:rPr>
            </w:pPr>
          </w:p>
        </w:tc>
      </w:tr>
      <w:tr w:rsidR="00172D95" w14:paraId="6FD94639" w14:textId="77777777" w:rsidTr="003C6CFC">
        <w:trPr>
          <w:jc w:val="center"/>
        </w:trPr>
        <w:tc>
          <w:tcPr>
            <w:tcW w:w="0" w:type="auto"/>
            <w:vAlign w:val="bottom"/>
          </w:tcPr>
          <w:p w14:paraId="419CD673" w14:textId="594E16EB" w:rsidR="00172D95" w:rsidRPr="00172D95" w:rsidRDefault="00172D95" w:rsidP="00172D95">
            <w:pPr>
              <w:keepNext/>
              <w:keepLines/>
              <w:rPr>
                <w:rFonts w:ascii="Arial" w:hAnsi="Arial" w:cs="Arial"/>
                <w:sz w:val="20"/>
                <w:szCs w:val="20"/>
              </w:rPr>
            </w:pPr>
            <w:r w:rsidRPr="00172D95">
              <w:rPr>
                <w:rFonts w:ascii="Arial" w:hAnsi="Arial" w:cs="Arial"/>
                <w:color w:val="000000"/>
                <w:sz w:val="20"/>
                <w:szCs w:val="20"/>
              </w:rPr>
              <w:t>5/14/2014</w:t>
            </w:r>
          </w:p>
        </w:tc>
        <w:tc>
          <w:tcPr>
            <w:tcW w:w="0" w:type="auto"/>
            <w:vAlign w:val="bottom"/>
          </w:tcPr>
          <w:p w14:paraId="38DBC06F" w14:textId="507B2FCD"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Wednesday</w:t>
            </w:r>
          </w:p>
        </w:tc>
        <w:tc>
          <w:tcPr>
            <w:tcW w:w="0" w:type="auto"/>
            <w:vAlign w:val="bottom"/>
          </w:tcPr>
          <w:p w14:paraId="6172472D" w14:textId="7C94CF17" w:rsidR="00172D95" w:rsidRPr="00172D95" w:rsidRDefault="00172D95" w:rsidP="00172D95">
            <w:pPr>
              <w:keepNext/>
              <w:keepLines/>
              <w:jc w:val="center"/>
              <w:rPr>
                <w:rFonts w:ascii="Arial" w:hAnsi="Arial" w:cs="Arial"/>
                <w:sz w:val="20"/>
                <w:szCs w:val="20"/>
              </w:rPr>
            </w:pPr>
          </w:p>
        </w:tc>
        <w:tc>
          <w:tcPr>
            <w:tcW w:w="0" w:type="auto"/>
            <w:vAlign w:val="bottom"/>
          </w:tcPr>
          <w:p w14:paraId="782175EA" w14:textId="20E5A6AA" w:rsidR="00172D95" w:rsidRPr="00172D95" w:rsidRDefault="00172D95" w:rsidP="00172D95">
            <w:pPr>
              <w:keepNext/>
              <w:keepLines/>
              <w:jc w:val="center"/>
              <w:rPr>
                <w:rFonts w:ascii="Arial" w:hAnsi="Arial" w:cs="Arial"/>
                <w:sz w:val="20"/>
                <w:szCs w:val="20"/>
              </w:rPr>
            </w:pPr>
          </w:p>
        </w:tc>
        <w:tc>
          <w:tcPr>
            <w:tcW w:w="0" w:type="auto"/>
            <w:vAlign w:val="bottom"/>
          </w:tcPr>
          <w:p w14:paraId="36B599C7" w14:textId="5CD2DAB8"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2</w:t>
            </w:r>
          </w:p>
        </w:tc>
      </w:tr>
      <w:tr w:rsidR="00172D95" w14:paraId="4DB10E02" w14:textId="77777777" w:rsidTr="003C6CFC">
        <w:trPr>
          <w:jc w:val="center"/>
        </w:trPr>
        <w:tc>
          <w:tcPr>
            <w:tcW w:w="0" w:type="auto"/>
            <w:vAlign w:val="bottom"/>
          </w:tcPr>
          <w:p w14:paraId="7D67FE3A" w14:textId="2AA299A7" w:rsidR="00172D95" w:rsidRPr="00172D95" w:rsidRDefault="00172D95" w:rsidP="00172D95">
            <w:pPr>
              <w:keepNext/>
              <w:keepLines/>
              <w:rPr>
                <w:rFonts w:ascii="Arial" w:hAnsi="Arial" w:cs="Arial"/>
                <w:sz w:val="20"/>
                <w:szCs w:val="20"/>
              </w:rPr>
            </w:pPr>
            <w:r w:rsidRPr="00172D95">
              <w:rPr>
                <w:rFonts w:ascii="Arial" w:hAnsi="Arial" w:cs="Arial"/>
                <w:color w:val="000000"/>
                <w:sz w:val="20"/>
                <w:szCs w:val="20"/>
              </w:rPr>
              <w:t>5/15/2014</w:t>
            </w:r>
          </w:p>
        </w:tc>
        <w:tc>
          <w:tcPr>
            <w:tcW w:w="0" w:type="auto"/>
            <w:vAlign w:val="bottom"/>
          </w:tcPr>
          <w:p w14:paraId="1990EB49" w14:textId="4296AFD7"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Thursday</w:t>
            </w:r>
          </w:p>
        </w:tc>
        <w:tc>
          <w:tcPr>
            <w:tcW w:w="0" w:type="auto"/>
            <w:vAlign w:val="bottom"/>
          </w:tcPr>
          <w:p w14:paraId="679F1EDE" w14:textId="77777777" w:rsidR="00172D95" w:rsidRPr="00172D95" w:rsidRDefault="00172D95" w:rsidP="00172D95">
            <w:pPr>
              <w:keepNext/>
              <w:keepLines/>
              <w:jc w:val="center"/>
              <w:rPr>
                <w:rFonts w:ascii="Arial" w:hAnsi="Arial" w:cs="Arial"/>
                <w:sz w:val="20"/>
                <w:szCs w:val="20"/>
              </w:rPr>
            </w:pPr>
          </w:p>
        </w:tc>
        <w:tc>
          <w:tcPr>
            <w:tcW w:w="0" w:type="auto"/>
            <w:vAlign w:val="bottom"/>
          </w:tcPr>
          <w:p w14:paraId="5E701233" w14:textId="29E49596"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3 (re-test)</w:t>
            </w:r>
          </w:p>
        </w:tc>
        <w:tc>
          <w:tcPr>
            <w:tcW w:w="0" w:type="auto"/>
            <w:vAlign w:val="bottom"/>
          </w:tcPr>
          <w:p w14:paraId="0C77096B" w14:textId="414B6419" w:rsidR="00172D95" w:rsidRPr="00172D95" w:rsidRDefault="00172D95" w:rsidP="00172D95">
            <w:pPr>
              <w:keepNext/>
              <w:keepLines/>
              <w:jc w:val="center"/>
              <w:rPr>
                <w:rFonts w:ascii="Arial" w:hAnsi="Arial" w:cs="Arial"/>
                <w:sz w:val="20"/>
                <w:szCs w:val="20"/>
              </w:rPr>
            </w:pPr>
          </w:p>
        </w:tc>
      </w:tr>
      <w:tr w:rsidR="00172D95" w14:paraId="7324540A" w14:textId="77777777" w:rsidTr="003C6CFC">
        <w:trPr>
          <w:jc w:val="center"/>
        </w:trPr>
        <w:tc>
          <w:tcPr>
            <w:tcW w:w="0" w:type="auto"/>
            <w:vAlign w:val="bottom"/>
          </w:tcPr>
          <w:p w14:paraId="1C734F26" w14:textId="6FDB4AC2" w:rsidR="00172D95" w:rsidRPr="00172D95" w:rsidRDefault="00172D95" w:rsidP="00172D95">
            <w:pPr>
              <w:keepNext/>
              <w:keepLines/>
              <w:rPr>
                <w:rFonts w:ascii="Arial" w:hAnsi="Arial" w:cs="Arial"/>
                <w:sz w:val="20"/>
                <w:szCs w:val="20"/>
              </w:rPr>
            </w:pPr>
            <w:r w:rsidRPr="00172D95">
              <w:rPr>
                <w:rFonts w:ascii="Arial" w:hAnsi="Arial" w:cs="Arial"/>
                <w:color w:val="000000"/>
                <w:sz w:val="20"/>
                <w:szCs w:val="20"/>
              </w:rPr>
              <w:t>5/16/2014</w:t>
            </w:r>
          </w:p>
        </w:tc>
        <w:tc>
          <w:tcPr>
            <w:tcW w:w="0" w:type="auto"/>
            <w:vAlign w:val="bottom"/>
          </w:tcPr>
          <w:p w14:paraId="0EB03847" w14:textId="23C2CD60"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Friday</w:t>
            </w:r>
          </w:p>
        </w:tc>
        <w:tc>
          <w:tcPr>
            <w:tcW w:w="0" w:type="auto"/>
            <w:vAlign w:val="bottom"/>
          </w:tcPr>
          <w:p w14:paraId="196BBC9C" w14:textId="01A27A40" w:rsidR="00172D95" w:rsidRPr="00172D95" w:rsidRDefault="00172D95" w:rsidP="00172D95">
            <w:pPr>
              <w:keepNext/>
              <w:keepLines/>
              <w:jc w:val="center"/>
              <w:rPr>
                <w:rFonts w:ascii="Arial" w:hAnsi="Arial" w:cs="Arial"/>
                <w:sz w:val="20"/>
                <w:szCs w:val="20"/>
              </w:rPr>
            </w:pPr>
          </w:p>
        </w:tc>
        <w:tc>
          <w:tcPr>
            <w:tcW w:w="0" w:type="auto"/>
            <w:vAlign w:val="bottom"/>
          </w:tcPr>
          <w:p w14:paraId="552F64B8" w14:textId="77777777" w:rsidR="00172D95" w:rsidRPr="00172D95" w:rsidRDefault="00172D95" w:rsidP="00172D95">
            <w:pPr>
              <w:keepNext/>
              <w:keepLines/>
              <w:jc w:val="center"/>
              <w:rPr>
                <w:rFonts w:ascii="Arial" w:hAnsi="Arial" w:cs="Arial"/>
                <w:sz w:val="20"/>
                <w:szCs w:val="20"/>
              </w:rPr>
            </w:pPr>
          </w:p>
        </w:tc>
        <w:tc>
          <w:tcPr>
            <w:tcW w:w="0" w:type="auto"/>
            <w:vAlign w:val="bottom"/>
          </w:tcPr>
          <w:p w14:paraId="1637BB97" w14:textId="5497BDCD"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3</w:t>
            </w:r>
          </w:p>
        </w:tc>
      </w:tr>
      <w:tr w:rsidR="00172D95" w14:paraId="55EFE582" w14:textId="77777777" w:rsidTr="003C6CFC">
        <w:trPr>
          <w:jc w:val="center"/>
        </w:trPr>
        <w:tc>
          <w:tcPr>
            <w:tcW w:w="0" w:type="auto"/>
            <w:vAlign w:val="bottom"/>
          </w:tcPr>
          <w:p w14:paraId="53B8E8B6" w14:textId="68D7971F" w:rsidR="00172D95" w:rsidRPr="00172D95" w:rsidRDefault="00172D95" w:rsidP="00172D95">
            <w:pPr>
              <w:keepNext/>
              <w:keepLines/>
              <w:rPr>
                <w:rFonts w:ascii="Arial" w:hAnsi="Arial" w:cs="Arial"/>
                <w:sz w:val="20"/>
                <w:szCs w:val="20"/>
              </w:rPr>
            </w:pPr>
            <w:r w:rsidRPr="00172D95">
              <w:rPr>
                <w:rFonts w:ascii="Arial" w:hAnsi="Arial" w:cs="Arial"/>
                <w:color w:val="000000"/>
                <w:sz w:val="20"/>
                <w:szCs w:val="20"/>
              </w:rPr>
              <w:t>9/11/2014</w:t>
            </w:r>
          </w:p>
        </w:tc>
        <w:tc>
          <w:tcPr>
            <w:tcW w:w="0" w:type="auto"/>
            <w:vAlign w:val="bottom"/>
          </w:tcPr>
          <w:p w14:paraId="77C4694D" w14:textId="2EE69F08"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Thursday</w:t>
            </w:r>
          </w:p>
        </w:tc>
        <w:tc>
          <w:tcPr>
            <w:tcW w:w="0" w:type="auto"/>
            <w:vAlign w:val="bottom"/>
          </w:tcPr>
          <w:p w14:paraId="4508B159" w14:textId="77777777" w:rsidR="00172D95" w:rsidRPr="00172D95" w:rsidRDefault="00172D95" w:rsidP="00172D95">
            <w:pPr>
              <w:keepNext/>
              <w:keepLines/>
              <w:jc w:val="center"/>
              <w:rPr>
                <w:rFonts w:ascii="Arial" w:hAnsi="Arial" w:cs="Arial"/>
                <w:sz w:val="20"/>
                <w:szCs w:val="20"/>
              </w:rPr>
            </w:pPr>
          </w:p>
        </w:tc>
        <w:tc>
          <w:tcPr>
            <w:tcW w:w="0" w:type="auto"/>
            <w:vAlign w:val="bottom"/>
          </w:tcPr>
          <w:p w14:paraId="79887F44" w14:textId="3A42BDED" w:rsidR="00172D95" w:rsidRPr="00172D95" w:rsidRDefault="00172D95" w:rsidP="00172D95">
            <w:pPr>
              <w:keepNext/>
              <w:keepLines/>
              <w:jc w:val="center"/>
              <w:rPr>
                <w:rFonts w:ascii="Arial" w:hAnsi="Arial" w:cs="Arial"/>
                <w:sz w:val="20"/>
                <w:szCs w:val="20"/>
              </w:rPr>
            </w:pPr>
            <w:r w:rsidRPr="00172D95">
              <w:rPr>
                <w:rFonts w:ascii="Arial" w:hAnsi="Arial" w:cs="Arial"/>
                <w:color w:val="000000"/>
                <w:sz w:val="20"/>
                <w:szCs w:val="20"/>
              </w:rPr>
              <w:t>4 (test)</w:t>
            </w:r>
          </w:p>
        </w:tc>
        <w:tc>
          <w:tcPr>
            <w:tcW w:w="0" w:type="auto"/>
            <w:vAlign w:val="bottom"/>
          </w:tcPr>
          <w:p w14:paraId="04874F0A" w14:textId="77777777" w:rsidR="00172D95" w:rsidRPr="00172D95" w:rsidRDefault="00172D95" w:rsidP="00172D95">
            <w:pPr>
              <w:keepNext/>
              <w:keepLines/>
              <w:jc w:val="center"/>
              <w:rPr>
                <w:rFonts w:ascii="Arial" w:hAnsi="Arial" w:cs="Arial"/>
                <w:sz w:val="20"/>
                <w:szCs w:val="20"/>
              </w:rPr>
            </w:pPr>
          </w:p>
        </w:tc>
      </w:tr>
    </w:tbl>
    <w:p w14:paraId="23BACC9C" w14:textId="77777777" w:rsidR="00321E09" w:rsidRDefault="00321E09" w:rsidP="00520449">
      <w:pPr>
        <w:pStyle w:val="Heading1"/>
        <w:spacing w:before="480"/>
      </w:pPr>
      <w:bookmarkStart w:id="52" w:name="_Toc415488949"/>
      <w:r>
        <w:t>3. Study Methodology</w:t>
      </w:r>
      <w:bookmarkEnd w:id="52"/>
    </w:p>
    <w:p w14:paraId="504833BE" w14:textId="77777777" w:rsidR="00321E09" w:rsidRDefault="00321E09" w:rsidP="008A6E80">
      <w:pPr>
        <w:pStyle w:val="Heading2"/>
      </w:pPr>
      <w:bookmarkStart w:id="53" w:name="_Toc415488950"/>
      <w:r>
        <w:t>3.1 Overview</w:t>
      </w:r>
      <w:bookmarkEnd w:id="53"/>
      <w:r>
        <w:t xml:space="preserve"> </w:t>
      </w:r>
    </w:p>
    <w:p w14:paraId="7CF5ED44" w14:textId="77777777" w:rsidR="00321E09" w:rsidRDefault="00321E09" w:rsidP="005E68AA">
      <w:r>
        <w:t>We estimated ex post hourly load impacts using regression equations applied to customer-level hourly load data. The regression equation models hourly load as a function of a set of variables designed to control for factors affecting consumers’ hourly demand levels, such as:</w:t>
      </w:r>
    </w:p>
    <w:p w14:paraId="019C4377" w14:textId="77777777" w:rsidR="00321E09" w:rsidRPr="001E060E" w:rsidRDefault="00321E09" w:rsidP="00C16F24">
      <w:pPr>
        <w:numPr>
          <w:ilvl w:val="0"/>
          <w:numId w:val="1"/>
        </w:numPr>
        <w:spacing w:before="120"/>
      </w:pPr>
      <w:r>
        <w:t>Seasonal and hourly time patterns (</w:t>
      </w:r>
      <w:r>
        <w:rPr>
          <w:i/>
        </w:rPr>
        <w:t>e.g.</w:t>
      </w:r>
      <w:r>
        <w:t xml:space="preserve">, year, month, day-of-week, and hour, plus </w:t>
      </w:r>
      <w:r w:rsidRPr="001E060E">
        <w:t>various hour/day-type interactions)</w:t>
      </w:r>
      <w:r>
        <w:t>;</w:t>
      </w:r>
    </w:p>
    <w:p w14:paraId="62D4E626" w14:textId="77777777" w:rsidR="00321E09" w:rsidRPr="001E060E" w:rsidRDefault="00321E09" w:rsidP="005E68AA">
      <w:pPr>
        <w:numPr>
          <w:ilvl w:val="0"/>
          <w:numId w:val="1"/>
        </w:numPr>
      </w:pPr>
      <w:r w:rsidRPr="001E060E">
        <w:t>Weather</w:t>
      </w:r>
      <w:r w:rsidR="00036433">
        <w:t xml:space="preserve">, </w:t>
      </w:r>
      <w:r w:rsidRPr="001E060E">
        <w:t>including hour-specific weather coefficients</w:t>
      </w:r>
      <w:r>
        <w:t>;</w:t>
      </w:r>
    </w:p>
    <w:p w14:paraId="1C8E294F" w14:textId="77777777" w:rsidR="00321E09" w:rsidRPr="001E060E" w:rsidRDefault="00321E09" w:rsidP="005E68AA">
      <w:pPr>
        <w:numPr>
          <w:ilvl w:val="0"/>
          <w:numId w:val="1"/>
        </w:numPr>
      </w:pPr>
      <w:r w:rsidRPr="001E060E">
        <w:t xml:space="preserve">Event </w:t>
      </w:r>
      <w:r>
        <w:t xml:space="preserve">variables. A series of dummy variables was included to account for each hour of each event day, allowing us to estimate the load impacts for all hours across the event days.  </w:t>
      </w:r>
    </w:p>
    <w:p w14:paraId="14D3710D" w14:textId="77777777" w:rsidR="00321E09" w:rsidRDefault="00321E09" w:rsidP="005E68AA"/>
    <w:p w14:paraId="0EA4BFCA" w14:textId="1E18CC3D" w:rsidR="00321E09" w:rsidRDefault="00321E09" w:rsidP="005E68AA">
      <w:r>
        <w:t xml:space="preserve">The models use the </w:t>
      </w:r>
      <w:r w:rsidRPr="00533155">
        <w:t>level</w:t>
      </w:r>
      <w:r>
        <w:t xml:space="preserve"> of hourly demand (kW) as the dependent variable and a separate equation is estimated for each enrolled customer. As a result, the coefficients on the event day/hour variables are direct estimates of the ex post </w:t>
      </w:r>
      <w:r w:rsidR="003C6CFC">
        <w:t>load impacts. For example, a BIP</w:t>
      </w:r>
      <w:r>
        <w:t xml:space="preserve"> hour 1</w:t>
      </w:r>
      <w:r w:rsidR="00264B54">
        <w:t>5</w:t>
      </w:r>
      <w:r>
        <w:t xml:space="preserve"> event coefficient of -100 would mean that the customer reduced load by 100 kWh during hour 1</w:t>
      </w:r>
      <w:r w:rsidR="00264B54">
        <w:t>5</w:t>
      </w:r>
      <w:r>
        <w:t xml:space="preserve"> of that event day relative to its normal usage in that hour. Weekends and holidays were excluded from the estimation database.</w:t>
      </w:r>
      <w:r w:rsidRPr="00BE6F16">
        <w:rPr>
          <w:rStyle w:val="FootnoteReference"/>
        </w:rPr>
        <w:footnoteReference w:id="6"/>
      </w:r>
      <w:r>
        <w:t xml:space="preserve">  </w:t>
      </w:r>
    </w:p>
    <w:p w14:paraId="615E6779" w14:textId="77777777" w:rsidR="002459F5" w:rsidRDefault="002459F5" w:rsidP="005E68AA"/>
    <w:p w14:paraId="7DB4648B" w14:textId="77777777" w:rsidR="002459F5" w:rsidRDefault="002459F5" w:rsidP="005E68AA">
      <w:r>
        <w:t xml:space="preserve">We tested a variety of weather variables in an attempt to determine which set best explains usage on event-like non-event days. This process and its results are explained in </w:t>
      </w:r>
      <w:r w:rsidR="00002762">
        <w:t>Appendix A</w:t>
      </w:r>
      <w:r>
        <w:t>.</w:t>
      </w:r>
    </w:p>
    <w:p w14:paraId="0C8235AA" w14:textId="77777777" w:rsidR="00321E09" w:rsidRDefault="00321E09" w:rsidP="008943AD">
      <w:pPr>
        <w:pStyle w:val="Heading2"/>
      </w:pPr>
      <w:bookmarkStart w:id="54" w:name="_Toc415488951"/>
      <w:r>
        <w:lastRenderedPageBreak/>
        <w:t>3.2 Description of methods</w:t>
      </w:r>
      <w:bookmarkEnd w:id="54"/>
    </w:p>
    <w:p w14:paraId="7A517653" w14:textId="77777777" w:rsidR="00321E09" w:rsidRPr="00146E50" w:rsidRDefault="00321E09" w:rsidP="00146E50">
      <w:pPr>
        <w:pStyle w:val="Heading3"/>
        <w:rPr>
          <w:sz w:val="22"/>
          <w:szCs w:val="22"/>
        </w:rPr>
      </w:pPr>
      <w:bookmarkStart w:id="55" w:name="_Toc415488952"/>
      <w:r>
        <w:rPr>
          <w:sz w:val="22"/>
          <w:szCs w:val="22"/>
        </w:rPr>
        <w:t>3</w:t>
      </w:r>
      <w:r w:rsidRPr="00146E50">
        <w:rPr>
          <w:sz w:val="22"/>
          <w:szCs w:val="22"/>
        </w:rPr>
        <w:t>.2.</w:t>
      </w:r>
      <w:r>
        <w:rPr>
          <w:sz w:val="22"/>
          <w:szCs w:val="22"/>
        </w:rPr>
        <w:t>1</w:t>
      </w:r>
      <w:r w:rsidRPr="00146E50">
        <w:rPr>
          <w:sz w:val="22"/>
          <w:szCs w:val="22"/>
        </w:rPr>
        <w:t xml:space="preserve"> </w:t>
      </w:r>
      <w:r>
        <w:rPr>
          <w:sz w:val="22"/>
          <w:szCs w:val="22"/>
        </w:rPr>
        <w:t>Regression</w:t>
      </w:r>
      <w:r w:rsidRPr="00146E50">
        <w:rPr>
          <w:sz w:val="22"/>
          <w:szCs w:val="22"/>
        </w:rPr>
        <w:t xml:space="preserve"> Model</w:t>
      </w:r>
      <w:bookmarkEnd w:id="55"/>
    </w:p>
    <w:p w14:paraId="22353781" w14:textId="4AF46F1B" w:rsidR="00321E09" w:rsidRPr="00E92D52" w:rsidRDefault="00321E09" w:rsidP="00B81672">
      <w:pPr>
        <w:rPr>
          <w:b/>
        </w:rPr>
      </w:pPr>
      <w:r>
        <w:t>The model shown below was separately estimated for each enrolled customer.</w:t>
      </w:r>
      <w:r w:rsidR="003C6CFC">
        <w:t xml:space="preserve"> </w:t>
      </w:r>
      <w:r w:rsidR="00E92D52">
        <w:t>Table 3.1 describes the terms included in the equation.</w:t>
      </w:r>
    </w:p>
    <w:p w14:paraId="6E9F1252" w14:textId="77777777" w:rsidR="00321E09" w:rsidRDefault="00321E09" w:rsidP="00B81672"/>
    <w:p w14:paraId="678ED869" w14:textId="77777777" w:rsidR="00321E09" w:rsidRDefault="003C6CFC" w:rsidP="00B81672">
      <w:r w:rsidRPr="00877B31">
        <w:rPr>
          <w:position w:val="-134"/>
        </w:rPr>
        <w:object w:dxaOrig="8800" w:dyaOrig="2799" w14:anchorId="29CE8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75pt;height:136.5pt" o:ole="">
            <v:imagedata r:id="rId18" o:title=""/>
          </v:shape>
          <o:OLEObject Type="Embed" ProgID="Equation.3" ShapeID="_x0000_i1025" DrawAspect="Content" ObjectID="_1489233950" r:id="rId19"/>
        </w:object>
      </w:r>
    </w:p>
    <w:p w14:paraId="6E112176" w14:textId="77777777" w:rsidR="00321E09" w:rsidRDefault="00321E09" w:rsidP="00B81672"/>
    <w:p w14:paraId="223DAC99" w14:textId="77777777" w:rsidR="00E92D52" w:rsidRPr="00852320" w:rsidRDefault="00E92D52" w:rsidP="00E92D52">
      <w:pPr>
        <w:pStyle w:val="TableCaption"/>
        <w:keepNext/>
        <w:keepLines/>
      </w:pPr>
      <w:bookmarkStart w:id="56" w:name="_Toc415489007"/>
      <w:r w:rsidRPr="00852320">
        <w:t>Table 3.1: Descriptions of Terms included in the Ex Post Regression Equation</w:t>
      </w:r>
      <w:bookmarkEnd w:id="5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6892"/>
      </w:tblGrid>
      <w:tr w:rsidR="00E92D52" w14:paraId="4E48AD27" w14:textId="77777777" w:rsidTr="0005199B">
        <w:trPr>
          <w:jc w:val="center"/>
        </w:trPr>
        <w:tc>
          <w:tcPr>
            <w:tcW w:w="0" w:type="auto"/>
            <w:shd w:val="clear" w:color="auto" w:fill="D9E2F3"/>
            <w:vAlign w:val="center"/>
          </w:tcPr>
          <w:p w14:paraId="33131F75" w14:textId="77777777" w:rsidR="00E92D52" w:rsidRPr="00AA745A" w:rsidRDefault="00E92D52" w:rsidP="00AA745A">
            <w:pPr>
              <w:keepNext/>
              <w:keepLines/>
              <w:jc w:val="center"/>
              <w:rPr>
                <w:rFonts w:ascii="Arial" w:hAnsi="Arial" w:cs="Arial"/>
                <w:b/>
                <w:sz w:val="20"/>
                <w:szCs w:val="20"/>
              </w:rPr>
            </w:pPr>
            <w:r w:rsidRPr="00AA745A">
              <w:rPr>
                <w:rFonts w:ascii="Arial" w:hAnsi="Arial" w:cs="Arial"/>
                <w:b/>
                <w:sz w:val="20"/>
                <w:szCs w:val="20"/>
              </w:rPr>
              <w:t>Variable Name / Term</w:t>
            </w:r>
          </w:p>
        </w:tc>
        <w:tc>
          <w:tcPr>
            <w:tcW w:w="0" w:type="auto"/>
            <w:shd w:val="clear" w:color="auto" w:fill="D9E2F3"/>
            <w:vAlign w:val="center"/>
          </w:tcPr>
          <w:p w14:paraId="7FAA95FB" w14:textId="77777777" w:rsidR="00E92D52" w:rsidRPr="00AA745A" w:rsidRDefault="00E92D52" w:rsidP="00AA745A">
            <w:pPr>
              <w:keepNext/>
              <w:keepLines/>
              <w:jc w:val="center"/>
              <w:rPr>
                <w:rFonts w:ascii="Arial" w:hAnsi="Arial" w:cs="Arial"/>
                <w:b/>
                <w:sz w:val="20"/>
                <w:szCs w:val="20"/>
              </w:rPr>
            </w:pPr>
            <w:r w:rsidRPr="00AA745A">
              <w:rPr>
                <w:rFonts w:ascii="Arial" w:hAnsi="Arial" w:cs="Arial"/>
                <w:b/>
                <w:sz w:val="20"/>
                <w:szCs w:val="20"/>
              </w:rPr>
              <w:t>Variable / Term Description</w:t>
            </w:r>
          </w:p>
        </w:tc>
      </w:tr>
      <w:tr w:rsidR="00E92D52" w14:paraId="39A5A6CA" w14:textId="77777777" w:rsidTr="00AA745A">
        <w:trPr>
          <w:jc w:val="center"/>
        </w:trPr>
        <w:tc>
          <w:tcPr>
            <w:tcW w:w="0" w:type="auto"/>
            <w:shd w:val="clear" w:color="auto" w:fill="auto"/>
            <w:vAlign w:val="center"/>
          </w:tcPr>
          <w:p w14:paraId="55278B75"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Q</w:t>
            </w:r>
            <w:r w:rsidRPr="00AA745A">
              <w:rPr>
                <w:rFonts w:ascii="Arial" w:hAnsi="Arial" w:cs="Arial"/>
                <w:i/>
                <w:sz w:val="20"/>
                <w:szCs w:val="20"/>
                <w:vertAlign w:val="subscript"/>
              </w:rPr>
              <w:t>t</w:t>
            </w:r>
          </w:p>
        </w:tc>
        <w:tc>
          <w:tcPr>
            <w:tcW w:w="0" w:type="auto"/>
            <w:shd w:val="clear" w:color="auto" w:fill="auto"/>
            <w:vAlign w:val="center"/>
          </w:tcPr>
          <w:p w14:paraId="691DDC9F" w14:textId="2AA051A1" w:rsidR="00E92D52" w:rsidRPr="00AA745A" w:rsidRDefault="00E92D52" w:rsidP="009271C4">
            <w:pPr>
              <w:keepNext/>
              <w:keepLines/>
              <w:rPr>
                <w:rFonts w:ascii="Arial" w:hAnsi="Arial" w:cs="Arial"/>
                <w:sz w:val="20"/>
                <w:szCs w:val="20"/>
              </w:rPr>
            </w:pPr>
            <w:r w:rsidRPr="00AA745A">
              <w:rPr>
                <w:rFonts w:ascii="Arial" w:hAnsi="Arial" w:cs="Arial"/>
                <w:sz w:val="20"/>
                <w:szCs w:val="20"/>
              </w:rPr>
              <w:t xml:space="preserve">the demand in hour </w:t>
            </w:r>
            <w:r w:rsidRPr="00AA745A">
              <w:rPr>
                <w:rFonts w:ascii="Arial" w:hAnsi="Arial" w:cs="Arial"/>
                <w:i/>
                <w:sz w:val="20"/>
                <w:szCs w:val="20"/>
              </w:rPr>
              <w:t>t</w:t>
            </w:r>
            <w:r w:rsidRPr="00AA745A">
              <w:rPr>
                <w:rFonts w:ascii="Arial" w:hAnsi="Arial" w:cs="Arial"/>
                <w:sz w:val="20"/>
                <w:szCs w:val="20"/>
              </w:rPr>
              <w:t xml:space="preserve"> for a customer enrolled in B</w:t>
            </w:r>
            <w:r w:rsidR="009271C4">
              <w:rPr>
                <w:rFonts w:ascii="Arial" w:hAnsi="Arial" w:cs="Arial"/>
                <w:sz w:val="20"/>
                <w:szCs w:val="20"/>
              </w:rPr>
              <w:t>I</w:t>
            </w:r>
            <w:r w:rsidRPr="00AA745A">
              <w:rPr>
                <w:rFonts w:ascii="Arial" w:hAnsi="Arial" w:cs="Arial"/>
                <w:sz w:val="20"/>
                <w:szCs w:val="20"/>
              </w:rPr>
              <w:t>P prior to the last event date</w:t>
            </w:r>
          </w:p>
        </w:tc>
      </w:tr>
      <w:tr w:rsidR="00E92D52" w14:paraId="6CCEAF4B" w14:textId="77777777" w:rsidTr="00AA745A">
        <w:trPr>
          <w:jc w:val="center"/>
        </w:trPr>
        <w:tc>
          <w:tcPr>
            <w:tcW w:w="0" w:type="auto"/>
            <w:shd w:val="clear" w:color="auto" w:fill="auto"/>
            <w:vAlign w:val="center"/>
          </w:tcPr>
          <w:p w14:paraId="22FC63DC" w14:textId="77777777" w:rsidR="00E92D52" w:rsidRPr="00AA745A" w:rsidRDefault="00E92D52" w:rsidP="00AA745A">
            <w:pPr>
              <w:keepNext/>
              <w:keepLines/>
              <w:jc w:val="center"/>
              <w:rPr>
                <w:rFonts w:ascii="Arial" w:hAnsi="Arial" w:cs="Arial"/>
                <w:sz w:val="20"/>
                <w:szCs w:val="20"/>
              </w:rPr>
            </w:pPr>
            <w:r w:rsidRPr="00AA745A">
              <w:rPr>
                <w:rFonts w:ascii="Arial" w:hAnsi="Arial" w:cs="Arial"/>
                <w:sz w:val="20"/>
                <w:szCs w:val="20"/>
              </w:rPr>
              <w:t xml:space="preserve">The various </w:t>
            </w:r>
            <w:r w:rsidRPr="00AA745A">
              <w:rPr>
                <w:rFonts w:ascii="Arial" w:hAnsi="Arial" w:cs="Arial"/>
                <w:i/>
                <w:sz w:val="20"/>
                <w:szCs w:val="20"/>
              </w:rPr>
              <w:t>b</w:t>
            </w:r>
            <w:r w:rsidRPr="00AA745A">
              <w:rPr>
                <w:rFonts w:ascii="Arial" w:hAnsi="Arial" w:cs="Arial"/>
                <w:sz w:val="20"/>
                <w:szCs w:val="20"/>
              </w:rPr>
              <w:t xml:space="preserve">’s </w:t>
            </w:r>
          </w:p>
        </w:tc>
        <w:tc>
          <w:tcPr>
            <w:tcW w:w="0" w:type="auto"/>
            <w:shd w:val="clear" w:color="auto" w:fill="auto"/>
            <w:vAlign w:val="center"/>
          </w:tcPr>
          <w:p w14:paraId="478FA58B"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the estimated parameters</w:t>
            </w:r>
          </w:p>
        </w:tc>
      </w:tr>
      <w:tr w:rsidR="00E92D52" w14:paraId="7D152356" w14:textId="77777777" w:rsidTr="00AA745A">
        <w:trPr>
          <w:jc w:val="center"/>
        </w:trPr>
        <w:tc>
          <w:tcPr>
            <w:tcW w:w="0" w:type="auto"/>
            <w:shd w:val="clear" w:color="auto" w:fill="auto"/>
            <w:vAlign w:val="center"/>
          </w:tcPr>
          <w:p w14:paraId="5027BC5E"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h</w:t>
            </w:r>
            <w:r w:rsidRPr="00AA745A">
              <w:rPr>
                <w:rFonts w:ascii="Arial" w:hAnsi="Arial" w:cs="Arial"/>
                <w:i/>
                <w:sz w:val="20"/>
                <w:szCs w:val="20"/>
                <w:vertAlign w:val="subscript"/>
              </w:rPr>
              <w:t>i,t</w:t>
            </w:r>
          </w:p>
        </w:tc>
        <w:tc>
          <w:tcPr>
            <w:tcW w:w="0" w:type="auto"/>
            <w:shd w:val="clear" w:color="auto" w:fill="auto"/>
            <w:vAlign w:val="center"/>
          </w:tcPr>
          <w:p w14:paraId="1F724030"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a dummy variable for hour </w:t>
            </w:r>
            <w:r w:rsidRPr="00AA745A">
              <w:rPr>
                <w:rFonts w:ascii="Arial" w:hAnsi="Arial" w:cs="Arial"/>
                <w:i/>
                <w:sz w:val="20"/>
                <w:szCs w:val="20"/>
              </w:rPr>
              <w:t>i</w:t>
            </w:r>
          </w:p>
        </w:tc>
      </w:tr>
      <w:tr w:rsidR="00E92D52" w14:paraId="6C0C0FC8" w14:textId="77777777" w:rsidTr="00AA745A">
        <w:trPr>
          <w:jc w:val="center"/>
        </w:trPr>
        <w:tc>
          <w:tcPr>
            <w:tcW w:w="0" w:type="auto"/>
            <w:shd w:val="clear" w:color="auto" w:fill="auto"/>
            <w:vAlign w:val="center"/>
          </w:tcPr>
          <w:p w14:paraId="2EF99966" w14:textId="3E458C0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B</w:t>
            </w:r>
            <w:r w:rsidR="003C6CFC">
              <w:rPr>
                <w:rFonts w:ascii="Arial" w:hAnsi="Arial" w:cs="Arial"/>
                <w:i/>
                <w:sz w:val="20"/>
                <w:szCs w:val="20"/>
              </w:rPr>
              <w:t>I</w:t>
            </w:r>
            <w:r w:rsidRPr="00AA745A">
              <w:rPr>
                <w:rFonts w:ascii="Arial" w:hAnsi="Arial" w:cs="Arial"/>
                <w:i/>
                <w:sz w:val="20"/>
                <w:szCs w:val="20"/>
              </w:rPr>
              <w:t>P</w:t>
            </w:r>
            <w:r w:rsidRPr="00AA745A">
              <w:rPr>
                <w:rFonts w:ascii="Arial" w:hAnsi="Arial" w:cs="Arial"/>
                <w:i/>
                <w:sz w:val="20"/>
                <w:szCs w:val="20"/>
                <w:vertAlign w:val="subscript"/>
              </w:rPr>
              <w:t>t</w:t>
            </w:r>
          </w:p>
        </w:tc>
        <w:tc>
          <w:tcPr>
            <w:tcW w:w="0" w:type="auto"/>
            <w:shd w:val="clear" w:color="auto" w:fill="auto"/>
            <w:vAlign w:val="center"/>
          </w:tcPr>
          <w:p w14:paraId="387E9AF9"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an indicator variable for program event days</w:t>
            </w:r>
          </w:p>
        </w:tc>
      </w:tr>
      <w:tr w:rsidR="00E92D52" w14:paraId="2463B718" w14:textId="77777777" w:rsidTr="00AA745A">
        <w:trPr>
          <w:jc w:val="center"/>
        </w:trPr>
        <w:tc>
          <w:tcPr>
            <w:tcW w:w="0" w:type="auto"/>
            <w:shd w:val="clear" w:color="auto" w:fill="auto"/>
            <w:vAlign w:val="center"/>
          </w:tcPr>
          <w:p w14:paraId="25C656E1" w14:textId="77777777" w:rsidR="00E92D52" w:rsidRPr="00AA745A" w:rsidRDefault="002459F5" w:rsidP="00AA745A">
            <w:pPr>
              <w:keepNext/>
              <w:keepLines/>
              <w:jc w:val="center"/>
              <w:rPr>
                <w:rFonts w:ascii="Arial" w:hAnsi="Arial" w:cs="Arial"/>
                <w:sz w:val="20"/>
                <w:szCs w:val="20"/>
              </w:rPr>
            </w:pPr>
            <w:r w:rsidRPr="00AA745A">
              <w:rPr>
                <w:rFonts w:ascii="Arial" w:hAnsi="Arial" w:cs="Arial"/>
                <w:i/>
                <w:sz w:val="20"/>
                <w:szCs w:val="20"/>
              </w:rPr>
              <w:t>Weather</w:t>
            </w:r>
            <w:r w:rsidR="00E92D52" w:rsidRPr="00AA745A">
              <w:rPr>
                <w:rFonts w:ascii="Arial" w:hAnsi="Arial" w:cs="Arial"/>
                <w:i/>
                <w:sz w:val="20"/>
                <w:szCs w:val="20"/>
                <w:vertAlign w:val="subscript"/>
              </w:rPr>
              <w:t>t</w:t>
            </w:r>
          </w:p>
        </w:tc>
        <w:tc>
          <w:tcPr>
            <w:tcW w:w="0" w:type="auto"/>
            <w:shd w:val="clear" w:color="auto" w:fill="auto"/>
            <w:vAlign w:val="center"/>
          </w:tcPr>
          <w:p w14:paraId="44FFCCE1" w14:textId="77777777" w:rsidR="00E92D52" w:rsidRPr="00AA745A" w:rsidRDefault="002459F5" w:rsidP="00AA745A">
            <w:pPr>
              <w:keepNext/>
              <w:keepLines/>
              <w:rPr>
                <w:rFonts w:ascii="Arial" w:hAnsi="Arial" w:cs="Arial"/>
                <w:sz w:val="20"/>
                <w:szCs w:val="20"/>
              </w:rPr>
            </w:pPr>
            <w:r w:rsidRPr="00AA745A">
              <w:rPr>
                <w:rFonts w:ascii="Arial" w:hAnsi="Arial" w:cs="Arial"/>
                <w:sz w:val="20"/>
                <w:szCs w:val="20"/>
              </w:rPr>
              <w:t>the weather variables selected using our model screening process</w:t>
            </w:r>
            <w:r w:rsidR="00E92D52" w:rsidRPr="00AA745A">
              <w:rPr>
                <w:rFonts w:ascii="Arial" w:hAnsi="Arial" w:cs="Arial"/>
                <w:sz w:val="20"/>
                <w:szCs w:val="20"/>
              </w:rPr>
              <w:t xml:space="preserve"> </w:t>
            </w:r>
          </w:p>
        </w:tc>
      </w:tr>
      <w:tr w:rsidR="00E92D52" w14:paraId="0F93093F" w14:textId="77777777" w:rsidTr="00AA745A">
        <w:trPr>
          <w:jc w:val="center"/>
        </w:trPr>
        <w:tc>
          <w:tcPr>
            <w:tcW w:w="0" w:type="auto"/>
            <w:shd w:val="clear" w:color="auto" w:fill="auto"/>
            <w:vAlign w:val="center"/>
          </w:tcPr>
          <w:p w14:paraId="2073E804"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E</w:t>
            </w:r>
          </w:p>
        </w:tc>
        <w:tc>
          <w:tcPr>
            <w:tcW w:w="0" w:type="auto"/>
            <w:shd w:val="clear" w:color="auto" w:fill="auto"/>
            <w:vAlign w:val="center"/>
          </w:tcPr>
          <w:p w14:paraId="1998A232"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the number of event days that occurred during the program year </w:t>
            </w:r>
          </w:p>
        </w:tc>
      </w:tr>
      <w:tr w:rsidR="00E92D52" w14:paraId="63C68F50" w14:textId="77777777" w:rsidTr="00AA745A">
        <w:trPr>
          <w:jc w:val="center"/>
        </w:trPr>
        <w:tc>
          <w:tcPr>
            <w:tcW w:w="0" w:type="auto"/>
            <w:shd w:val="clear" w:color="auto" w:fill="auto"/>
            <w:vAlign w:val="center"/>
          </w:tcPr>
          <w:p w14:paraId="16D66864"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MornLoad</w:t>
            </w:r>
            <w:r w:rsidRPr="00AA745A">
              <w:rPr>
                <w:rFonts w:ascii="Arial" w:hAnsi="Arial" w:cs="Arial"/>
                <w:i/>
                <w:sz w:val="20"/>
                <w:szCs w:val="20"/>
                <w:vertAlign w:val="subscript"/>
              </w:rPr>
              <w:t>t</w:t>
            </w:r>
          </w:p>
        </w:tc>
        <w:tc>
          <w:tcPr>
            <w:tcW w:w="0" w:type="auto"/>
            <w:shd w:val="clear" w:color="auto" w:fill="auto"/>
            <w:vAlign w:val="center"/>
          </w:tcPr>
          <w:p w14:paraId="3A6F8824"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a variable equal to the average of the day’s load in hours 1 through 10</w:t>
            </w:r>
          </w:p>
        </w:tc>
      </w:tr>
      <w:tr w:rsidR="00E92D52" w14:paraId="04406653" w14:textId="77777777" w:rsidTr="00AA745A">
        <w:trPr>
          <w:jc w:val="center"/>
        </w:trPr>
        <w:tc>
          <w:tcPr>
            <w:tcW w:w="0" w:type="auto"/>
            <w:shd w:val="clear" w:color="auto" w:fill="auto"/>
            <w:vAlign w:val="center"/>
          </w:tcPr>
          <w:p w14:paraId="5374DFC8"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OtherEvt</w:t>
            </w:r>
            <w:r w:rsidR="00EB0348" w:rsidRPr="00EB0348">
              <w:rPr>
                <w:rFonts w:ascii="Arial" w:hAnsi="Arial" w:cs="Arial"/>
                <w:i/>
                <w:sz w:val="20"/>
                <w:szCs w:val="20"/>
                <w:vertAlign w:val="superscript"/>
              </w:rPr>
              <w:t>DR</w:t>
            </w:r>
            <w:r w:rsidRPr="00AA745A">
              <w:rPr>
                <w:rFonts w:ascii="Arial" w:hAnsi="Arial" w:cs="Arial"/>
                <w:i/>
                <w:sz w:val="20"/>
                <w:szCs w:val="20"/>
                <w:vertAlign w:val="subscript"/>
              </w:rPr>
              <w:t>t</w:t>
            </w:r>
          </w:p>
        </w:tc>
        <w:tc>
          <w:tcPr>
            <w:tcW w:w="0" w:type="auto"/>
            <w:shd w:val="clear" w:color="auto" w:fill="auto"/>
            <w:vAlign w:val="center"/>
          </w:tcPr>
          <w:p w14:paraId="45B9CED4"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equals one </w:t>
            </w:r>
            <w:r w:rsidR="0020029B" w:rsidRPr="00AA745A">
              <w:rPr>
                <w:rFonts w:ascii="Arial" w:hAnsi="Arial" w:cs="Arial"/>
                <w:sz w:val="20"/>
                <w:szCs w:val="20"/>
              </w:rPr>
              <w:t>o</w:t>
            </w:r>
            <w:r w:rsidRPr="00AA745A">
              <w:rPr>
                <w:rFonts w:ascii="Arial" w:hAnsi="Arial" w:cs="Arial"/>
                <w:sz w:val="20"/>
                <w:szCs w:val="20"/>
              </w:rPr>
              <w:t xml:space="preserve">n the event </w:t>
            </w:r>
            <w:r w:rsidR="0020029B" w:rsidRPr="00AA745A">
              <w:rPr>
                <w:rFonts w:ascii="Arial" w:hAnsi="Arial" w:cs="Arial"/>
                <w:sz w:val="20"/>
                <w:szCs w:val="20"/>
              </w:rPr>
              <w:t>day</w:t>
            </w:r>
            <w:r w:rsidRPr="00AA745A">
              <w:rPr>
                <w:rFonts w:ascii="Arial" w:hAnsi="Arial" w:cs="Arial"/>
                <w:sz w:val="20"/>
                <w:szCs w:val="20"/>
              </w:rPr>
              <w:t xml:space="preserve">s of other demand response programs in which the customer is enrolled </w:t>
            </w:r>
          </w:p>
        </w:tc>
      </w:tr>
      <w:tr w:rsidR="00E92D52" w14:paraId="5B66D48A" w14:textId="77777777" w:rsidTr="00AA745A">
        <w:trPr>
          <w:jc w:val="center"/>
        </w:trPr>
        <w:tc>
          <w:tcPr>
            <w:tcW w:w="0" w:type="auto"/>
            <w:shd w:val="clear" w:color="auto" w:fill="auto"/>
            <w:vAlign w:val="center"/>
          </w:tcPr>
          <w:p w14:paraId="35A22052" w14:textId="77777777" w:rsidR="00E92D52" w:rsidRPr="00AA745A" w:rsidRDefault="00E92D52" w:rsidP="00AA745A">
            <w:pPr>
              <w:keepNext/>
              <w:keepLines/>
              <w:jc w:val="center"/>
              <w:rPr>
                <w:rFonts w:ascii="Arial" w:hAnsi="Arial" w:cs="Arial"/>
                <w:sz w:val="20"/>
                <w:szCs w:val="20"/>
              </w:rPr>
            </w:pPr>
            <w:smartTag w:uri="urn:schemas-microsoft-com:office:smarttags" w:element="place">
              <w:smartTag w:uri="urn:schemas-microsoft-com:office:smarttags" w:element="State">
                <w:r w:rsidRPr="00AA745A">
                  <w:rPr>
                    <w:rFonts w:ascii="Arial" w:hAnsi="Arial" w:cs="Arial"/>
                    <w:i/>
                    <w:sz w:val="20"/>
                    <w:szCs w:val="20"/>
                  </w:rPr>
                  <w:t>MON</w:t>
                </w:r>
                <w:r w:rsidRPr="00AA745A">
                  <w:rPr>
                    <w:rFonts w:ascii="Arial" w:hAnsi="Arial" w:cs="Arial"/>
                    <w:i/>
                    <w:sz w:val="20"/>
                    <w:szCs w:val="20"/>
                    <w:vertAlign w:val="subscript"/>
                  </w:rPr>
                  <w:t>t</w:t>
                </w:r>
              </w:smartTag>
            </w:smartTag>
          </w:p>
        </w:tc>
        <w:tc>
          <w:tcPr>
            <w:tcW w:w="0" w:type="auto"/>
            <w:shd w:val="clear" w:color="auto" w:fill="auto"/>
            <w:vAlign w:val="center"/>
          </w:tcPr>
          <w:p w14:paraId="27BEBD09"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a dummy variable for Monday </w:t>
            </w:r>
          </w:p>
        </w:tc>
      </w:tr>
      <w:tr w:rsidR="00E92D52" w14:paraId="691DC3AA" w14:textId="77777777" w:rsidTr="00AA745A">
        <w:trPr>
          <w:jc w:val="center"/>
        </w:trPr>
        <w:tc>
          <w:tcPr>
            <w:tcW w:w="0" w:type="auto"/>
            <w:shd w:val="clear" w:color="auto" w:fill="auto"/>
            <w:vAlign w:val="center"/>
          </w:tcPr>
          <w:p w14:paraId="12F49CE9" w14:textId="77777777" w:rsidR="00E92D52" w:rsidRPr="00AA745A" w:rsidRDefault="00E92D52" w:rsidP="00AA745A">
            <w:pPr>
              <w:keepNext/>
              <w:keepLines/>
              <w:jc w:val="center"/>
              <w:rPr>
                <w:rFonts w:ascii="Arial" w:hAnsi="Arial" w:cs="Arial"/>
                <w:sz w:val="20"/>
                <w:szCs w:val="20"/>
              </w:rPr>
            </w:pPr>
            <w:r w:rsidRPr="00AA745A">
              <w:rPr>
                <w:rFonts w:ascii="Arial" w:hAnsi="Arial" w:cs="Arial"/>
                <w:i/>
                <w:sz w:val="20"/>
                <w:szCs w:val="20"/>
              </w:rPr>
              <w:t>FRI</w:t>
            </w:r>
            <w:r w:rsidRPr="00AA745A">
              <w:rPr>
                <w:rFonts w:ascii="Arial" w:hAnsi="Arial" w:cs="Arial"/>
                <w:i/>
                <w:sz w:val="20"/>
                <w:szCs w:val="20"/>
                <w:vertAlign w:val="subscript"/>
              </w:rPr>
              <w:t>t</w:t>
            </w:r>
          </w:p>
        </w:tc>
        <w:tc>
          <w:tcPr>
            <w:tcW w:w="0" w:type="auto"/>
            <w:shd w:val="clear" w:color="auto" w:fill="auto"/>
            <w:vAlign w:val="center"/>
          </w:tcPr>
          <w:p w14:paraId="4D3443E7" w14:textId="77777777" w:rsidR="00E92D52" w:rsidRPr="00AA745A" w:rsidRDefault="00E92D52" w:rsidP="00AA745A">
            <w:pPr>
              <w:keepNext/>
              <w:keepLines/>
              <w:rPr>
                <w:rFonts w:ascii="Arial" w:hAnsi="Arial" w:cs="Arial"/>
                <w:sz w:val="20"/>
                <w:szCs w:val="20"/>
              </w:rPr>
            </w:pPr>
            <w:r w:rsidRPr="00AA745A">
              <w:rPr>
                <w:rFonts w:ascii="Arial" w:hAnsi="Arial" w:cs="Arial"/>
                <w:sz w:val="20"/>
                <w:szCs w:val="20"/>
              </w:rPr>
              <w:t xml:space="preserve">a dummy variable for Friday </w:t>
            </w:r>
          </w:p>
        </w:tc>
      </w:tr>
      <w:tr w:rsidR="00877B31" w14:paraId="47117761" w14:textId="77777777" w:rsidTr="00AA745A">
        <w:trPr>
          <w:jc w:val="center"/>
        </w:trPr>
        <w:tc>
          <w:tcPr>
            <w:tcW w:w="0" w:type="auto"/>
            <w:shd w:val="clear" w:color="auto" w:fill="auto"/>
            <w:vAlign w:val="center"/>
          </w:tcPr>
          <w:p w14:paraId="35E84D4A" w14:textId="77777777" w:rsidR="00877B31" w:rsidRPr="00AA745A" w:rsidRDefault="002B0E14" w:rsidP="00AA745A">
            <w:pPr>
              <w:keepNext/>
              <w:keepLines/>
              <w:jc w:val="center"/>
              <w:rPr>
                <w:rFonts w:ascii="Arial" w:hAnsi="Arial" w:cs="Arial"/>
                <w:i/>
                <w:sz w:val="20"/>
                <w:szCs w:val="20"/>
              </w:rPr>
            </w:pPr>
            <w:r w:rsidRPr="00AA745A">
              <w:rPr>
                <w:rFonts w:ascii="Arial" w:hAnsi="Arial" w:cs="Arial"/>
                <w:i/>
                <w:sz w:val="20"/>
                <w:szCs w:val="20"/>
              </w:rPr>
              <w:t>SUMMER</w:t>
            </w:r>
            <w:r w:rsidR="00877B31" w:rsidRPr="00AA745A">
              <w:rPr>
                <w:rFonts w:ascii="Arial" w:hAnsi="Arial" w:cs="Arial"/>
                <w:i/>
                <w:sz w:val="20"/>
                <w:szCs w:val="20"/>
                <w:vertAlign w:val="subscript"/>
              </w:rPr>
              <w:t>t</w:t>
            </w:r>
          </w:p>
        </w:tc>
        <w:tc>
          <w:tcPr>
            <w:tcW w:w="0" w:type="auto"/>
            <w:shd w:val="clear" w:color="auto" w:fill="auto"/>
            <w:vAlign w:val="center"/>
          </w:tcPr>
          <w:p w14:paraId="2BE9E561" w14:textId="77777777" w:rsidR="00877B31" w:rsidRPr="00AA745A" w:rsidRDefault="00877B31" w:rsidP="00AA745A">
            <w:pPr>
              <w:keepNext/>
              <w:keepLines/>
              <w:rPr>
                <w:rFonts w:ascii="Arial" w:hAnsi="Arial" w:cs="Arial"/>
                <w:sz w:val="20"/>
                <w:szCs w:val="20"/>
              </w:rPr>
            </w:pPr>
            <w:r w:rsidRPr="00AA745A">
              <w:rPr>
                <w:rFonts w:ascii="Arial" w:hAnsi="Arial" w:cs="Arial"/>
                <w:sz w:val="20"/>
                <w:szCs w:val="20"/>
              </w:rPr>
              <w:t xml:space="preserve">a dummy variable for </w:t>
            </w:r>
            <w:r w:rsidR="002B0E14" w:rsidRPr="00AA745A">
              <w:rPr>
                <w:rFonts w:ascii="Arial" w:hAnsi="Arial" w:cs="Arial"/>
                <w:sz w:val="20"/>
                <w:szCs w:val="20"/>
              </w:rPr>
              <w:t>the summer pricing season</w:t>
            </w:r>
            <w:r w:rsidR="002B0E14" w:rsidRPr="00AA745A">
              <w:rPr>
                <w:rStyle w:val="FootnoteReference"/>
                <w:rFonts w:ascii="Arial" w:hAnsi="Arial"/>
                <w:sz w:val="20"/>
                <w:szCs w:val="20"/>
              </w:rPr>
              <w:footnoteReference w:id="7"/>
            </w:r>
          </w:p>
        </w:tc>
      </w:tr>
      <w:tr w:rsidR="00877B31" w14:paraId="0284C256" w14:textId="77777777" w:rsidTr="00AA745A">
        <w:trPr>
          <w:jc w:val="center"/>
        </w:trPr>
        <w:tc>
          <w:tcPr>
            <w:tcW w:w="0" w:type="auto"/>
            <w:shd w:val="clear" w:color="auto" w:fill="auto"/>
            <w:vAlign w:val="center"/>
          </w:tcPr>
          <w:p w14:paraId="041DA679" w14:textId="77777777" w:rsidR="00877B31" w:rsidRPr="00AA745A" w:rsidRDefault="00877B31" w:rsidP="00AA745A">
            <w:pPr>
              <w:keepNext/>
              <w:keepLines/>
              <w:jc w:val="center"/>
              <w:rPr>
                <w:rFonts w:ascii="Arial" w:hAnsi="Arial" w:cs="Arial"/>
                <w:sz w:val="20"/>
                <w:szCs w:val="20"/>
              </w:rPr>
            </w:pPr>
            <w:r w:rsidRPr="00AA745A">
              <w:rPr>
                <w:rFonts w:ascii="Arial" w:hAnsi="Arial" w:cs="Arial"/>
                <w:i/>
                <w:sz w:val="20"/>
                <w:szCs w:val="20"/>
              </w:rPr>
              <w:t>DTYPE</w:t>
            </w:r>
            <w:r w:rsidRPr="00AA745A">
              <w:rPr>
                <w:rFonts w:ascii="Arial" w:hAnsi="Arial" w:cs="Arial"/>
                <w:i/>
                <w:sz w:val="20"/>
                <w:szCs w:val="20"/>
                <w:vertAlign w:val="subscript"/>
              </w:rPr>
              <w:t>i,t</w:t>
            </w:r>
          </w:p>
        </w:tc>
        <w:tc>
          <w:tcPr>
            <w:tcW w:w="0" w:type="auto"/>
            <w:shd w:val="clear" w:color="auto" w:fill="auto"/>
            <w:vAlign w:val="center"/>
          </w:tcPr>
          <w:p w14:paraId="00882875" w14:textId="77777777" w:rsidR="00877B31" w:rsidRPr="00AA745A" w:rsidRDefault="00877B31" w:rsidP="00AA745A">
            <w:pPr>
              <w:keepNext/>
              <w:keepLines/>
              <w:rPr>
                <w:rFonts w:ascii="Arial" w:hAnsi="Arial" w:cs="Arial"/>
                <w:sz w:val="20"/>
                <w:szCs w:val="20"/>
              </w:rPr>
            </w:pPr>
            <w:r w:rsidRPr="00AA745A">
              <w:rPr>
                <w:rFonts w:ascii="Arial" w:hAnsi="Arial" w:cs="Arial"/>
                <w:sz w:val="20"/>
                <w:szCs w:val="20"/>
              </w:rPr>
              <w:t>a series of dummy variables for each day of the week</w:t>
            </w:r>
          </w:p>
        </w:tc>
      </w:tr>
      <w:tr w:rsidR="00877B31" w14:paraId="20EC683A" w14:textId="77777777" w:rsidTr="00AA745A">
        <w:trPr>
          <w:jc w:val="center"/>
        </w:trPr>
        <w:tc>
          <w:tcPr>
            <w:tcW w:w="0" w:type="auto"/>
            <w:shd w:val="clear" w:color="auto" w:fill="auto"/>
            <w:vAlign w:val="center"/>
          </w:tcPr>
          <w:p w14:paraId="3A2008B4" w14:textId="77777777" w:rsidR="00877B31" w:rsidRPr="00AA745A" w:rsidRDefault="00877B31" w:rsidP="00AA745A">
            <w:pPr>
              <w:keepNext/>
              <w:keepLines/>
              <w:jc w:val="center"/>
              <w:rPr>
                <w:rFonts w:ascii="Arial" w:hAnsi="Arial" w:cs="Arial"/>
                <w:sz w:val="20"/>
                <w:szCs w:val="20"/>
              </w:rPr>
            </w:pPr>
            <w:r w:rsidRPr="00AA745A">
              <w:rPr>
                <w:rFonts w:ascii="Arial" w:hAnsi="Arial" w:cs="Arial"/>
                <w:i/>
                <w:sz w:val="20"/>
                <w:szCs w:val="20"/>
              </w:rPr>
              <w:t>MONTH</w:t>
            </w:r>
            <w:r w:rsidRPr="00AA745A">
              <w:rPr>
                <w:rFonts w:ascii="Arial" w:hAnsi="Arial" w:cs="Arial"/>
                <w:i/>
                <w:sz w:val="20"/>
                <w:szCs w:val="20"/>
                <w:vertAlign w:val="subscript"/>
              </w:rPr>
              <w:t>i,t</w:t>
            </w:r>
          </w:p>
        </w:tc>
        <w:tc>
          <w:tcPr>
            <w:tcW w:w="0" w:type="auto"/>
            <w:shd w:val="clear" w:color="auto" w:fill="auto"/>
            <w:vAlign w:val="center"/>
          </w:tcPr>
          <w:p w14:paraId="79FAADD9" w14:textId="77777777" w:rsidR="00877B31" w:rsidRPr="00AA745A" w:rsidRDefault="00877B31" w:rsidP="00AA745A">
            <w:pPr>
              <w:keepNext/>
              <w:keepLines/>
              <w:rPr>
                <w:rFonts w:ascii="Arial" w:hAnsi="Arial" w:cs="Arial"/>
                <w:sz w:val="20"/>
                <w:szCs w:val="20"/>
              </w:rPr>
            </w:pPr>
            <w:r w:rsidRPr="00AA745A">
              <w:rPr>
                <w:rFonts w:ascii="Arial" w:hAnsi="Arial" w:cs="Arial"/>
                <w:sz w:val="20"/>
                <w:szCs w:val="20"/>
              </w:rPr>
              <w:t xml:space="preserve">a series of dummy variables for each month </w:t>
            </w:r>
          </w:p>
        </w:tc>
      </w:tr>
      <w:tr w:rsidR="00877B31" w14:paraId="407E1F3E" w14:textId="77777777" w:rsidTr="00AA745A">
        <w:trPr>
          <w:jc w:val="center"/>
        </w:trPr>
        <w:tc>
          <w:tcPr>
            <w:tcW w:w="0" w:type="auto"/>
            <w:shd w:val="clear" w:color="auto" w:fill="auto"/>
            <w:vAlign w:val="center"/>
          </w:tcPr>
          <w:p w14:paraId="28673F6E" w14:textId="77777777" w:rsidR="00877B31" w:rsidRPr="00AA745A" w:rsidRDefault="00877B31" w:rsidP="00AA745A">
            <w:pPr>
              <w:keepNext/>
              <w:keepLines/>
              <w:jc w:val="center"/>
              <w:rPr>
                <w:rFonts w:ascii="Arial" w:hAnsi="Arial" w:cs="Arial"/>
                <w:sz w:val="20"/>
                <w:szCs w:val="20"/>
              </w:rPr>
            </w:pPr>
            <w:r w:rsidRPr="00AA745A">
              <w:rPr>
                <w:rFonts w:ascii="Arial" w:hAnsi="Arial" w:cs="Arial"/>
                <w:i/>
                <w:sz w:val="20"/>
                <w:szCs w:val="20"/>
              </w:rPr>
              <w:t>e</w:t>
            </w:r>
            <w:r w:rsidRPr="00AA745A">
              <w:rPr>
                <w:rFonts w:ascii="Arial" w:hAnsi="Arial" w:cs="Arial"/>
                <w:i/>
                <w:sz w:val="20"/>
                <w:szCs w:val="20"/>
                <w:vertAlign w:val="subscript"/>
              </w:rPr>
              <w:t>t</w:t>
            </w:r>
          </w:p>
        </w:tc>
        <w:tc>
          <w:tcPr>
            <w:tcW w:w="0" w:type="auto"/>
            <w:shd w:val="clear" w:color="auto" w:fill="auto"/>
            <w:vAlign w:val="center"/>
          </w:tcPr>
          <w:p w14:paraId="1BF927F2" w14:textId="77777777" w:rsidR="00877B31" w:rsidRPr="00AA745A" w:rsidRDefault="00877B31" w:rsidP="00AA745A">
            <w:pPr>
              <w:keepNext/>
              <w:keepLines/>
              <w:rPr>
                <w:rFonts w:ascii="Arial" w:hAnsi="Arial" w:cs="Arial"/>
                <w:sz w:val="20"/>
                <w:szCs w:val="20"/>
              </w:rPr>
            </w:pPr>
            <w:r w:rsidRPr="00AA745A">
              <w:rPr>
                <w:rFonts w:ascii="Arial" w:hAnsi="Arial" w:cs="Arial"/>
                <w:sz w:val="20"/>
                <w:szCs w:val="20"/>
              </w:rPr>
              <w:t>the error term.</w:t>
            </w:r>
          </w:p>
        </w:tc>
      </w:tr>
    </w:tbl>
    <w:p w14:paraId="41816D6F" w14:textId="77777777" w:rsidR="00E92D52" w:rsidRDefault="00E92D52" w:rsidP="00E92D52"/>
    <w:p w14:paraId="1D5001FC" w14:textId="5E752554" w:rsidR="00321E09" w:rsidRDefault="002459F5" w:rsidP="00B81672">
      <w:r>
        <w:t xml:space="preserve">The </w:t>
      </w:r>
      <w:r w:rsidRPr="002459F5">
        <w:rPr>
          <w:i/>
        </w:rPr>
        <w:t>OtherEvt</w:t>
      </w:r>
      <w:r>
        <w:t xml:space="preserve"> variables help the model explain load changes that occur on event days for programs in which the B</w:t>
      </w:r>
      <w:r w:rsidR="005713D3">
        <w:t>I</w:t>
      </w:r>
      <w:r>
        <w:t>P customers are dually enrolled. (In the absence of these variables, any load reductions that occur on such days may be falsely attributed to other included variables, such as weather condition or day type variables.) The “morning load” variables are included in the same spirit as the day-of adjustment to the 10-in-10 baseline settlement method</w:t>
      </w:r>
      <w:r w:rsidR="005713D3">
        <w:t xml:space="preserve"> used in some DR programs (e.g., Demand Bidding Program, or DBP)</w:t>
      </w:r>
      <w:r>
        <w:t>. T</w:t>
      </w:r>
      <w:r w:rsidR="006D3A77">
        <w:t xml:space="preserve">hat is, those variables help adjust the reference loads (or the loads that would </w:t>
      </w:r>
      <w:r w:rsidR="006D3A77">
        <w:lastRenderedPageBreak/>
        <w:t xml:space="preserve">have been observed in the absence of an event) for factors that affect pre-event usage, but are not accounted for by the other included variables. </w:t>
      </w:r>
    </w:p>
    <w:p w14:paraId="2168DF0A" w14:textId="77777777" w:rsidR="00877B31" w:rsidRDefault="00877B31" w:rsidP="00B81672"/>
    <w:p w14:paraId="4F4148D7" w14:textId="77777777" w:rsidR="00877B31" w:rsidRDefault="00877B31" w:rsidP="00B81672">
      <w:r>
        <w:t xml:space="preserve">The model allows for the hourly load profile to differ by: day of week, with separate profiles for Monday, Tuesday through Thursday, and Friday; and </w:t>
      </w:r>
      <w:r w:rsidR="002B0E14">
        <w:t xml:space="preserve">by pricing season (i.e., summer versus non-summer), in order to account for </w:t>
      </w:r>
      <w:r w:rsidR="0020029B">
        <w:t xml:space="preserve">potential </w:t>
      </w:r>
      <w:r w:rsidR="002B0E14">
        <w:t>customer load changes in response to seasonal changes</w:t>
      </w:r>
      <w:r w:rsidR="0020029B">
        <w:t xml:space="preserve"> in rates</w:t>
      </w:r>
      <w:r>
        <w:t>.</w:t>
      </w:r>
    </w:p>
    <w:p w14:paraId="16944184" w14:textId="77777777" w:rsidR="00C11C07" w:rsidRDefault="00C11C07" w:rsidP="00B81672"/>
    <w:p w14:paraId="50A21D86" w14:textId="77777777" w:rsidR="00321E09" w:rsidRDefault="00321E09" w:rsidP="00C21781">
      <w:r>
        <w:t xml:space="preserve">Separate models were estimated for each customer. The load impacts were aggregated across customer accounts as appropriate to arrive at program-level load impacts, as well as load impacts by industry group and local capacity area (LCA). </w:t>
      </w:r>
    </w:p>
    <w:p w14:paraId="4F25DDAF" w14:textId="77777777" w:rsidR="005713D3" w:rsidRDefault="005713D3" w:rsidP="00C21781"/>
    <w:p w14:paraId="7AB65810" w14:textId="1803ADEA" w:rsidR="005713D3" w:rsidRDefault="005713D3" w:rsidP="00C21781">
      <w:r>
        <w:t>A parallel set of non-summer models was estimated for each customer. The structure matches the model described above, with appropriate modifications made to the month indicators, summer variables, and weather variables.</w:t>
      </w:r>
    </w:p>
    <w:p w14:paraId="76537CD6" w14:textId="77777777" w:rsidR="00321E09" w:rsidRPr="00146E50" w:rsidRDefault="00321E09" w:rsidP="00146E50">
      <w:pPr>
        <w:pStyle w:val="Heading3"/>
        <w:rPr>
          <w:sz w:val="22"/>
          <w:szCs w:val="22"/>
        </w:rPr>
      </w:pPr>
      <w:bookmarkStart w:id="57" w:name="_Toc415488953"/>
      <w:bookmarkStart w:id="58" w:name="OLE_LINK3"/>
      <w:bookmarkStart w:id="59" w:name="OLE_LINK4"/>
      <w:r>
        <w:rPr>
          <w:sz w:val="22"/>
          <w:szCs w:val="22"/>
        </w:rPr>
        <w:t>3</w:t>
      </w:r>
      <w:r w:rsidRPr="00146E50">
        <w:rPr>
          <w:sz w:val="22"/>
          <w:szCs w:val="22"/>
        </w:rPr>
        <w:t>.2.</w:t>
      </w:r>
      <w:r>
        <w:rPr>
          <w:sz w:val="22"/>
          <w:szCs w:val="22"/>
        </w:rPr>
        <w:t>2</w:t>
      </w:r>
      <w:r w:rsidRPr="00146E50">
        <w:rPr>
          <w:sz w:val="22"/>
          <w:szCs w:val="22"/>
        </w:rPr>
        <w:t xml:space="preserve"> Development of Uncertainty-Adjusted Load Impacts</w:t>
      </w:r>
      <w:bookmarkEnd w:id="57"/>
    </w:p>
    <w:bookmarkEnd w:id="58"/>
    <w:bookmarkEnd w:id="59"/>
    <w:p w14:paraId="7BE911CE" w14:textId="77777777" w:rsidR="00321E09" w:rsidRDefault="00321E09" w:rsidP="00C40131">
      <w:r>
        <w:t xml:space="preserve">The Load Impact Protocols require the estimation of uncertainty-adjusted load impacts. In the case of </w:t>
      </w:r>
      <w:r w:rsidRPr="00E86C8A">
        <w:t>ex post</w:t>
      </w:r>
      <w:r>
        <w:t xml:space="preserve"> load impacts, the parameters that constitute the load impact estimates are not estimated with certainty. We base the uncertainty-adjusted load impacts on the variances associated with the estimated load impact coefficients.  </w:t>
      </w:r>
    </w:p>
    <w:p w14:paraId="375CF39D" w14:textId="77777777" w:rsidR="00321E09" w:rsidRDefault="00321E09" w:rsidP="00C40131"/>
    <w:p w14:paraId="03FA978B" w14:textId="7355B544" w:rsidR="00321E09" w:rsidRDefault="00321E09" w:rsidP="008943AD">
      <w:r>
        <w:t xml:space="preserve">Specifically, we added the variances of the estimated load impacts across the customers who </w:t>
      </w:r>
      <w:r w:rsidR="005713D3">
        <w:t xml:space="preserve">are called during </w:t>
      </w:r>
      <w:r>
        <w:t>the event in question. These aggregations were performed at either the program level, by industry group, or by LCA, as appropriate. The uncertainty-adjusted scenarios were then simulated under the assumption that each hour’s load impact is normally distributed with the mean equal to the sum of the estimated load impacts and the standard deviation equal to the square root of the sum of the variances of the errors around the estimates of the load impacts. Results for the 10</w:t>
      </w:r>
      <w:r w:rsidRPr="00B81672">
        <w:rPr>
          <w:vertAlign w:val="superscript"/>
        </w:rPr>
        <w:t>th</w:t>
      </w:r>
      <w:r>
        <w:t>, 30</w:t>
      </w:r>
      <w:r w:rsidRPr="00B81672">
        <w:rPr>
          <w:vertAlign w:val="superscript"/>
        </w:rPr>
        <w:t>th</w:t>
      </w:r>
      <w:r>
        <w:t>, 70</w:t>
      </w:r>
      <w:r w:rsidRPr="00B81672">
        <w:rPr>
          <w:vertAlign w:val="superscript"/>
        </w:rPr>
        <w:t>th</w:t>
      </w:r>
      <w:r>
        <w:t>, and 90</w:t>
      </w:r>
      <w:r w:rsidRPr="00B81672">
        <w:rPr>
          <w:vertAlign w:val="superscript"/>
        </w:rPr>
        <w:t>th</w:t>
      </w:r>
      <w:r>
        <w:t xml:space="preserve"> percentile scenarios are generated from these distributions. </w:t>
      </w:r>
    </w:p>
    <w:p w14:paraId="5F4C810F" w14:textId="77777777" w:rsidR="001E5CB7" w:rsidRDefault="001E5CB7" w:rsidP="008943AD"/>
    <w:p w14:paraId="01DB4D7A" w14:textId="06CA439F" w:rsidR="001E5CB7" w:rsidRDefault="00932C46" w:rsidP="008943AD">
      <w:r>
        <w:t>In order to develop the uncertainty-adjusted load impacts associated with the average event hour (</w:t>
      </w:r>
      <w:r w:rsidRPr="00BB46F8">
        <w:t>i.e.</w:t>
      </w:r>
      <w:r>
        <w:t xml:space="preserve">, the bottom rows in the tables produced by the </w:t>
      </w:r>
      <w:r w:rsidRPr="00BB46F8">
        <w:t>ex</w:t>
      </w:r>
      <w:r>
        <w:t xml:space="preserve"> </w:t>
      </w:r>
      <w:r w:rsidRPr="00BB46F8">
        <w:t>post</w:t>
      </w:r>
      <w:r>
        <w:t xml:space="preserve"> table generator), we estimated an additional set of customer-specific regression models in which each event day’s average event-hour load impact is estimated using a single variable (rather than the hour-specific variables used in the primary model described above). The standard error associated with these event-specific coefficients serves as the basis of the average event-hour uncertainty-adjusted load impacts for each </w:t>
      </w:r>
      <w:r w:rsidRPr="00BB46F8">
        <w:t>ex</w:t>
      </w:r>
      <w:r>
        <w:t xml:space="preserve"> </w:t>
      </w:r>
      <w:r w:rsidRPr="00BB46F8">
        <w:t>post</w:t>
      </w:r>
      <w:r>
        <w:t xml:space="preserve"> event day. The standard errors are used to develop the uncertainty-adjusted scenarios in the same manner as the hour-specific standard errors in the primary model.</w:t>
      </w:r>
    </w:p>
    <w:p w14:paraId="3F946A3D" w14:textId="77777777" w:rsidR="00321E09" w:rsidRDefault="00321E09" w:rsidP="008943AD">
      <w:pPr>
        <w:pStyle w:val="Heading1"/>
      </w:pPr>
      <w:bookmarkStart w:id="60" w:name="_Toc415488954"/>
      <w:r>
        <w:t>4</w:t>
      </w:r>
      <w:r w:rsidRPr="00146E50">
        <w:t>. Detailed Study Findings</w:t>
      </w:r>
      <w:bookmarkEnd w:id="60"/>
    </w:p>
    <w:p w14:paraId="3BBC8F96" w14:textId="6A93A76E" w:rsidR="00321E09" w:rsidRDefault="00321E09" w:rsidP="00D27021">
      <w:r>
        <w:t xml:space="preserve">The primary objective of the </w:t>
      </w:r>
      <w:r w:rsidRPr="00E86C8A">
        <w:t>ex post</w:t>
      </w:r>
      <w:r>
        <w:t xml:space="preserve"> evaluation is to estimate the aggregate </w:t>
      </w:r>
      <w:r w:rsidRPr="00747186">
        <w:t>and per-customer</w:t>
      </w:r>
      <w:r>
        <w:t xml:space="preserve"> B</w:t>
      </w:r>
      <w:r w:rsidR="008965E6">
        <w:t>I</w:t>
      </w:r>
      <w:r>
        <w:t xml:space="preserve">P event-day load impacts for each utility. In this section we first summarize </w:t>
      </w:r>
      <w:r>
        <w:lastRenderedPageBreak/>
        <w:t>the estimated B</w:t>
      </w:r>
      <w:r w:rsidR="008965E6">
        <w:t>I</w:t>
      </w:r>
      <w:r>
        <w:t xml:space="preserve">P load impacts for </w:t>
      </w:r>
      <w:r w:rsidR="00871568">
        <w:t xml:space="preserve">each of the </w:t>
      </w:r>
      <w:r>
        <w:t xml:space="preserve">utilities using a metric of estimated </w:t>
      </w:r>
      <w:r w:rsidRPr="00E405C5">
        <w:rPr>
          <w:i/>
        </w:rPr>
        <w:t>average hourly load impacts</w:t>
      </w:r>
      <w:r>
        <w:t xml:space="preserve"> by event and for the average event. We also report average hourly load impacts for the average event by industry type and local capacity area. We then present tables of </w:t>
      </w:r>
      <w:r w:rsidRPr="004E0BA4">
        <w:rPr>
          <w:i/>
        </w:rPr>
        <w:t>hourly</w:t>
      </w:r>
      <w:r>
        <w:t xml:space="preserve"> load impacts for an </w:t>
      </w:r>
      <w:r w:rsidRPr="00721C6B">
        <w:rPr>
          <w:i/>
        </w:rPr>
        <w:t>average event</w:t>
      </w:r>
      <w:r>
        <w:t xml:space="preserve"> </w:t>
      </w:r>
      <w:r w:rsidRPr="00553B68">
        <w:t>(also referred to as a “typical event day”)</w:t>
      </w:r>
      <w:r>
        <w:t xml:space="preserve"> in the format required by the Load Impact Protocols adopted by the California Public Utilities Commission (CPUC) in Decision (D.) 08-04-050 (“the Protocols”), including risk-adjusted load impacts at different probability levels, and figures that illustrate the reference loads, observed loads and estimated load impacts. </w:t>
      </w:r>
    </w:p>
    <w:p w14:paraId="4BDD36C6" w14:textId="77777777" w:rsidR="00321E09" w:rsidRDefault="00321E09" w:rsidP="00D27021"/>
    <w:p w14:paraId="008B1623" w14:textId="08E944C5" w:rsidR="00321E09" w:rsidRPr="00120F3A" w:rsidRDefault="00321E09" w:rsidP="00D27021">
      <w:bookmarkStart w:id="61" w:name="OLE_LINK16"/>
      <w:r w:rsidRPr="001D4F2E">
        <w:t xml:space="preserve">On a summary level, the average event-hour load impact per enrolled customer was </w:t>
      </w:r>
      <w:r w:rsidR="005520E6">
        <w:t>1,046.7</w:t>
      </w:r>
      <w:r w:rsidRPr="001D4F2E">
        <w:t xml:space="preserve"> kW for PG&amp;E's program</w:t>
      </w:r>
      <w:r w:rsidR="00AE04B6" w:rsidRPr="001D4F2E">
        <w:t xml:space="preserve">, </w:t>
      </w:r>
      <w:r w:rsidR="005520E6">
        <w:t>1,464.8</w:t>
      </w:r>
      <w:r w:rsidRPr="001D4F2E">
        <w:t xml:space="preserve"> kW for SCE's program</w:t>
      </w:r>
      <w:r w:rsidR="00AE04B6" w:rsidRPr="008965E6">
        <w:t xml:space="preserve">, </w:t>
      </w:r>
      <w:r w:rsidR="008965E6" w:rsidRPr="008965E6">
        <w:t xml:space="preserve">and </w:t>
      </w:r>
      <w:r w:rsidR="005520E6">
        <w:t>298.4</w:t>
      </w:r>
      <w:r w:rsidR="00120F3A" w:rsidRPr="008965E6">
        <w:t xml:space="preserve"> kW </w:t>
      </w:r>
      <w:r w:rsidR="00AE04B6" w:rsidRPr="008965E6">
        <w:t>for SDG&amp;E’s</w:t>
      </w:r>
      <w:r w:rsidR="005520E6">
        <w:t xml:space="preserve"> </w:t>
      </w:r>
      <w:r w:rsidR="008965E6" w:rsidRPr="008965E6">
        <w:t>program</w:t>
      </w:r>
      <w:r w:rsidRPr="008965E6">
        <w:t>.</w:t>
      </w:r>
      <w:bookmarkEnd w:id="61"/>
    </w:p>
    <w:p w14:paraId="72DCE5C6" w14:textId="77777777" w:rsidR="00321E09" w:rsidRDefault="00321E09" w:rsidP="008943AD">
      <w:pPr>
        <w:pStyle w:val="Heading2"/>
      </w:pPr>
      <w:bookmarkStart w:id="62" w:name="_Toc415488955"/>
      <w:r w:rsidRPr="00120F3A">
        <w:t>4</w:t>
      </w:r>
      <w:r>
        <w:t>.1 PG&amp;E Load Impacts</w:t>
      </w:r>
      <w:bookmarkEnd w:id="62"/>
    </w:p>
    <w:p w14:paraId="1F67CB74" w14:textId="77777777" w:rsidR="00321E09" w:rsidRPr="00146E50" w:rsidRDefault="00321E09" w:rsidP="00BB7A34">
      <w:pPr>
        <w:pStyle w:val="Heading3"/>
        <w:rPr>
          <w:sz w:val="22"/>
          <w:szCs w:val="22"/>
        </w:rPr>
      </w:pPr>
      <w:bookmarkStart w:id="63" w:name="_Toc415488956"/>
      <w:r>
        <w:rPr>
          <w:sz w:val="22"/>
          <w:szCs w:val="22"/>
        </w:rPr>
        <w:t xml:space="preserve">4.1.1 </w:t>
      </w:r>
      <w:r w:rsidRPr="00146E50">
        <w:rPr>
          <w:sz w:val="22"/>
          <w:szCs w:val="22"/>
        </w:rPr>
        <w:t>Average Hourly Load Impacts by Industry Group and LCA</w:t>
      </w:r>
      <w:bookmarkEnd w:id="63"/>
    </w:p>
    <w:p w14:paraId="6BF4DD28" w14:textId="32AF9E83" w:rsidR="00F02657" w:rsidRPr="009F594B" w:rsidRDefault="00F02657" w:rsidP="00F02657">
      <w:r>
        <w:t>Table 4.1 summarizes average hourly reference loads and load impacts at the program level for each of PG&amp;E’s B</w:t>
      </w:r>
      <w:r w:rsidR="00972362">
        <w:t>I</w:t>
      </w:r>
      <w:r>
        <w:t>P events.</w:t>
      </w:r>
      <w:r w:rsidR="00D575C8">
        <w:t xml:space="preserve"> </w:t>
      </w:r>
      <w:r w:rsidR="00E36F39">
        <w:t>Because t</w:t>
      </w:r>
      <w:r w:rsidR="00972362">
        <w:t>he second and third events were re-tests following the February 6</w:t>
      </w:r>
      <w:r w:rsidR="00972362" w:rsidRPr="00972362">
        <w:rPr>
          <w:vertAlign w:val="superscript"/>
        </w:rPr>
        <w:t>th</w:t>
      </w:r>
      <w:r w:rsidR="00972362">
        <w:t xml:space="preserve"> event, fewer service a</w:t>
      </w:r>
      <w:r w:rsidR="00383F6F">
        <w:t>greement</w:t>
      </w:r>
      <w:r w:rsidR="00972362">
        <w:t>s were called. The highest load impact occurred during the September 11</w:t>
      </w:r>
      <w:r w:rsidR="00972362" w:rsidRPr="00972362">
        <w:rPr>
          <w:vertAlign w:val="superscript"/>
        </w:rPr>
        <w:t>th</w:t>
      </w:r>
      <w:r w:rsidR="00972362">
        <w:t xml:space="preserve"> test event, with an average 228 MW load impact across the two event hours. </w:t>
      </w:r>
      <w:r w:rsidR="00A94317">
        <w:t>Note that portions of the table have been removed due to confidentiality concerns.</w:t>
      </w:r>
    </w:p>
    <w:p w14:paraId="2BD53454" w14:textId="77777777" w:rsidR="00F02657" w:rsidRDefault="00F02657" w:rsidP="00F02657"/>
    <w:p w14:paraId="2D454A77" w14:textId="77777777" w:rsidR="00413FAA" w:rsidRPr="00852320" w:rsidRDefault="00413FAA" w:rsidP="00413FAA">
      <w:pPr>
        <w:pStyle w:val="TableCaption"/>
        <w:keepNext/>
        <w:keepLines/>
      </w:pPr>
      <w:bookmarkStart w:id="64" w:name="_Toc415489008"/>
      <w:r w:rsidRPr="00852320">
        <w:t>Table 4.</w:t>
      </w:r>
      <w:r w:rsidR="00F02657" w:rsidRPr="00852320">
        <w:t>1</w:t>
      </w:r>
      <w:r w:rsidRPr="00852320">
        <w:t xml:space="preserve">: Average Hourly Load Impacts by Event, </w:t>
      </w:r>
      <w:r w:rsidRPr="00852320">
        <w:rPr>
          <w:i/>
        </w:rPr>
        <w:t>PG&amp;E</w:t>
      </w:r>
      <w:bookmarkEnd w:id="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106"/>
        <w:gridCol w:w="845"/>
        <w:gridCol w:w="1372"/>
        <w:gridCol w:w="1392"/>
        <w:gridCol w:w="1246"/>
        <w:gridCol w:w="1349"/>
        <w:gridCol w:w="784"/>
      </w:tblGrid>
      <w:tr w:rsidR="004536E0" w14:paraId="2382F5BA" w14:textId="77777777" w:rsidTr="004536E0">
        <w:trPr>
          <w:jc w:val="center"/>
        </w:trPr>
        <w:tc>
          <w:tcPr>
            <w:tcW w:w="761" w:type="dxa"/>
            <w:shd w:val="clear" w:color="auto" w:fill="D9E2F3"/>
            <w:vAlign w:val="center"/>
          </w:tcPr>
          <w:p w14:paraId="6B215DC1" w14:textId="77777777" w:rsidR="004536E0" w:rsidRPr="007E0A27" w:rsidRDefault="004536E0" w:rsidP="001753F1">
            <w:pPr>
              <w:keepNext/>
              <w:keepLines/>
              <w:jc w:val="center"/>
              <w:rPr>
                <w:rFonts w:ascii="Arial" w:hAnsi="Arial" w:cs="Arial"/>
                <w:b/>
                <w:sz w:val="20"/>
                <w:szCs w:val="20"/>
              </w:rPr>
            </w:pPr>
            <w:r w:rsidRPr="007E0A27">
              <w:rPr>
                <w:rFonts w:ascii="Arial" w:hAnsi="Arial" w:cs="Arial"/>
                <w:b/>
                <w:sz w:val="20"/>
                <w:szCs w:val="20"/>
              </w:rPr>
              <w:t>Event</w:t>
            </w:r>
          </w:p>
        </w:tc>
        <w:tc>
          <w:tcPr>
            <w:tcW w:w="1106" w:type="dxa"/>
            <w:shd w:val="clear" w:color="auto" w:fill="D9E2F3"/>
            <w:vAlign w:val="center"/>
          </w:tcPr>
          <w:p w14:paraId="7A169E9C" w14:textId="77777777" w:rsidR="004536E0" w:rsidRPr="007E0A27" w:rsidRDefault="004536E0" w:rsidP="001753F1">
            <w:pPr>
              <w:keepNext/>
              <w:keepLines/>
              <w:jc w:val="center"/>
              <w:rPr>
                <w:rFonts w:ascii="Arial" w:hAnsi="Arial" w:cs="Arial"/>
                <w:b/>
                <w:sz w:val="20"/>
                <w:szCs w:val="20"/>
              </w:rPr>
            </w:pPr>
            <w:r w:rsidRPr="007E0A27">
              <w:rPr>
                <w:rFonts w:ascii="Arial" w:hAnsi="Arial" w:cs="Arial"/>
                <w:b/>
                <w:sz w:val="20"/>
                <w:szCs w:val="20"/>
              </w:rPr>
              <w:t>Date</w:t>
            </w:r>
          </w:p>
        </w:tc>
        <w:tc>
          <w:tcPr>
            <w:tcW w:w="911" w:type="dxa"/>
            <w:shd w:val="clear" w:color="auto" w:fill="D9E2F3"/>
            <w:vAlign w:val="center"/>
          </w:tcPr>
          <w:p w14:paraId="50CFBD48" w14:textId="77777777" w:rsidR="004536E0" w:rsidRPr="007E0A27" w:rsidRDefault="004536E0" w:rsidP="001753F1">
            <w:pPr>
              <w:keepNext/>
              <w:keepLines/>
              <w:jc w:val="center"/>
              <w:rPr>
                <w:rFonts w:ascii="Arial" w:hAnsi="Arial" w:cs="Arial"/>
                <w:b/>
                <w:sz w:val="20"/>
                <w:szCs w:val="20"/>
              </w:rPr>
            </w:pPr>
            <w:r w:rsidRPr="007E0A27">
              <w:rPr>
                <w:rFonts w:ascii="Arial" w:hAnsi="Arial" w:cs="Arial"/>
                <w:b/>
                <w:sz w:val="20"/>
                <w:szCs w:val="20"/>
              </w:rPr>
              <w:t>Day of Week</w:t>
            </w:r>
          </w:p>
        </w:tc>
        <w:tc>
          <w:tcPr>
            <w:tcW w:w="1128" w:type="dxa"/>
            <w:shd w:val="clear" w:color="auto" w:fill="D9E2F3"/>
            <w:vAlign w:val="center"/>
          </w:tcPr>
          <w:p w14:paraId="482A6594" w14:textId="55F1739F" w:rsidR="004536E0" w:rsidRPr="007E0A27" w:rsidRDefault="004536E0" w:rsidP="00383F6F">
            <w:pPr>
              <w:keepNext/>
              <w:keepLines/>
              <w:jc w:val="center"/>
              <w:rPr>
                <w:rFonts w:ascii="Arial" w:hAnsi="Arial" w:cs="Arial"/>
                <w:b/>
                <w:sz w:val="20"/>
                <w:szCs w:val="20"/>
              </w:rPr>
            </w:pPr>
            <w:r>
              <w:rPr>
                <w:rFonts w:ascii="Arial" w:hAnsi="Arial" w:cs="Arial"/>
                <w:b/>
                <w:sz w:val="20"/>
                <w:szCs w:val="20"/>
              </w:rPr>
              <w:t># Service A</w:t>
            </w:r>
            <w:r w:rsidR="00383F6F">
              <w:rPr>
                <w:rFonts w:ascii="Arial" w:hAnsi="Arial" w:cs="Arial"/>
                <w:b/>
                <w:sz w:val="20"/>
                <w:szCs w:val="20"/>
              </w:rPr>
              <w:t>greeme</w:t>
            </w:r>
            <w:r>
              <w:rPr>
                <w:rFonts w:ascii="Arial" w:hAnsi="Arial" w:cs="Arial"/>
                <w:b/>
                <w:sz w:val="20"/>
                <w:szCs w:val="20"/>
              </w:rPr>
              <w:t>nts</w:t>
            </w:r>
          </w:p>
        </w:tc>
        <w:tc>
          <w:tcPr>
            <w:tcW w:w="1612" w:type="dxa"/>
            <w:shd w:val="clear" w:color="auto" w:fill="D9E2F3"/>
            <w:vAlign w:val="center"/>
          </w:tcPr>
          <w:p w14:paraId="4C9D61AD" w14:textId="237E87BF" w:rsidR="004536E0" w:rsidRPr="007E0A27" w:rsidRDefault="004536E0" w:rsidP="001753F1">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1360" w:type="dxa"/>
            <w:shd w:val="clear" w:color="auto" w:fill="D9E2F3"/>
            <w:vAlign w:val="center"/>
          </w:tcPr>
          <w:p w14:paraId="4CB9009D" w14:textId="77777777" w:rsidR="004536E0" w:rsidRPr="007E0A27" w:rsidRDefault="004536E0" w:rsidP="001753F1">
            <w:pPr>
              <w:keepNext/>
              <w:keepLines/>
              <w:jc w:val="center"/>
              <w:rPr>
                <w:rFonts w:ascii="Arial" w:hAnsi="Arial" w:cs="Arial"/>
                <w:b/>
                <w:sz w:val="20"/>
                <w:szCs w:val="20"/>
              </w:rPr>
            </w:pPr>
            <w:r w:rsidRPr="007E0A27">
              <w:rPr>
                <w:rFonts w:ascii="Arial" w:hAnsi="Arial" w:cs="Arial"/>
                <w:b/>
                <w:sz w:val="20"/>
                <w:szCs w:val="20"/>
              </w:rPr>
              <w:t>Observed Load (MW)</w:t>
            </w:r>
          </w:p>
        </w:tc>
        <w:tc>
          <w:tcPr>
            <w:tcW w:w="1536" w:type="dxa"/>
            <w:shd w:val="clear" w:color="auto" w:fill="D9E2F3"/>
            <w:vAlign w:val="center"/>
          </w:tcPr>
          <w:p w14:paraId="70596DE9" w14:textId="77777777" w:rsidR="004536E0" w:rsidRPr="007E0A27" w:rsidRDefault="004536E0" w:rsidP="001753F1">
            <w:pPr>
              <w:keepNext/>
              <w:keepLines/>
              <w:jc w:val="center"/>
              <w:rPr>
                <w:rFonts w:ascii="Arial" w:hAnsi="Arial" w:cs="Arial"/>
                <w:b/>
                <w:sz w:val="20"/>
                <w:szCs w:val="20"/>
              </w:rPr>
            </w:pPr>
            <w:r w:rsidRPr="007E0A27">
              <w:rPr>
                <w:rFonts w:ascii="Arial" w:hAnsi="Arial" w:cs="Arial"/>
                <w:b/>
                <w:sz w:val="20"/>
                <w:szCs w:val="20"/>
              </w:rPr>
              <w:t>Estimated Load Impact (MW)</w:t>
            </w:r>
          </w:p>
        </w:tc>
        <w:tc>
          <w:tcPr>
            <w:tcW w:w="442" w:type="dxa"/>
            <w:shd w:val="clear" w:color="auto" w:fill="D9E2F3"/>
            <w:vAlign w:val="center"/>
          </w:tcPr>
          <w:p w14:paraId="31DA6C8C" w14:textId="77777777" w:rsidR="004536E0" w:rsidRPr="007E0A27" w:rsidRDefault="004536E0" w:rsidP="001753F1">
            <w:pPr>
              <w:keepNext/>
              <w:keepLines/>
              <w:jc w:val="center"/>
              <w:rPr>
                <w:rFonts w:ascii="Arial" w:hAnsi="Arial" w:cs="Arial"/>
                <w:b/>
                <w:sz w:val="20"/>
                <w:szCs w:val="20"/>
              </w:rPr>
            </w:pPr>
            <w:r w:rsidRPr="007E0A27">
              <w:rPr>
                <w:rFonts w:ascii="Arial" w:hAnsi="Arial" w:cs="Arial"/>
                <w:b/>
                <w:sz w:val="20"/>
                <w:szCs w:val="20"/>
              </w:rPr>
              <w:t>% LI</w:t>
            </w:r>
          </w:p>
        </w:tc>
      </w:tr>
      <w:tr w:rsidR="004536E0" w14:paraId="7DF5F915" w14:textId="77777777" w:rsidTr="004536E0">
        <w:trPr>
          <w:jc w:val="center"/>
        </w:trPr>
        <w:tc>
          <w:tcPr>
            <w:tcW w:w="761" w:type="dxa"/>
          </w:tcPr>
          <w:p w14:paraId="5C98E7C7" w14:textId="327870EA" w:rsidR="004536E0" w:rsidRPr="00B719EA" w:rsidRDefault="004536E0" w:rsidP="004536E0">
            <w:pPr>
              <w:keepNext/>
              <w:keepLines/>
              <w:jc w:val="center"/>
              <w:rPr>
                <w:rFonts w:ascii="Arial" w:hAnsi="Arial" w:cs="Arial"/>
                <w:sz w:val="20"/>
                <w:szCs w:val="20"/>
              </w:rPr>
            </w:pPr>
            <w:r w:rsidRPr="00B719EA">
              <w:rPr>
                <w:rFonts w:ascii="Arial" w:hAnsi="Arial" w:cs="Arial"/>
                <w:sz w:val="20"/>
                <w:szCs w:val="20"/>
              </w:rPr>
              <w:t>1</w:t>
            </w:r>
          </w:p>
        </w:tc>
        <w:tc>
          <w:tcPr>
            <w:tcW w:w="1106" w:type="dxa"/>
          </w:tcPr>
          <w:p w14:paraId="71009E2C" w14:textId="74ECD5F1" w:rsidR="004536E0" w:rsidRPr="00B719EA" w:rsidRDefault="004536E0" w:rsidP="004536E0">
            <w:pPr>
              <w:rPr>
                <w:rFonts w:ascii="Arial" w:hAnsi="Arial" w:cs="Arial"/>
                <w:color w:val="000000"/>
                <w:sz w:val="20"/>
                <w:szCs w:val="20"/>
              </w:rPr>
            </w:pPr>
            <w:r>
              <w:rPr>
                <w:rFonts w:ascii="Arial" w:hAnsi="Arial" w:cs="Arial"/>
                <w:sz w:val="20"/>
                <w:szCs w:val="20"/>
              </w:rPr>
              <w:t>2</w:t>
            </w:r>
            <w:r w:rsidRPr="00B719EA">
              <w:rPr>
                <w:rFonts w:ascii="Arial" w:hAnsi="Arial" w:cs="Arial"/>
                <w:sz w:val="20"/>
                <w:szCs w:val="20"/>
              </w:rPr>
              <w:t>/</w:t>
            </w:r>
            <w:r>
              <w:rPr>
                <w:rFonts w:ascii="Arial" w:hAnsi="Arial" w:cs="Arial"/>
                <w:sz w:val="20"/>
                <w:szCs w:val="20"/>
              </w:rPr>
              <w:t>6</w:t>
            </w:r>
            <w:r w:rsidRPr="00B719EA">
              <w:rPr>
                <w:rFonts w:ascii="Arial" w:hAnsi="Arial" w:cs="Arial"/>
                <w:sz w:val="20"/>
                <w:szCs w:val="20"/>
              </w:rPr>
              <w:t>/2014</w:t>
            </w:r>
          </w:p>
        </w:tc>
        <w:tc>
          <w:tcPr>
            <w:tcW w:w="911" w:type="dxa"/>
          </w:tcPr>
          <w:p w14:paraId="3FC0F8DE" w14:textId="52DC25C4" w:rsidR="004536E0" w:rsidRPr="00B719EA" w:rsidRDefault="004536E0" w:rsidP="004536E0">
            <w:pPr>
              <w:keepNext/>
              <w:keepLines/>
              <w:rPr>
                <w:rFonts w:ascii="Arial" w:hAnsi="Arial" w:cs="Arial"/>
                <w:sz w:val="20"/>
                <w:szCs w:val="20"/>
              </w:rPr>
            </w:pPr>
            <w:r>
              <w:rPr>
                <w:rFonts w:ascii="Arial" w:hAnsi="Arial" w:cs="Arial"/>
                <w:sz w:val="20"/>
                <w:szCs w:val="20"/>
              </w:rPr>
              <w:t>Thurs.</w:t>
            </w:r>
          </w:p>
        </w:tc>
        <w:tc>
          <w:tcPr>
            <w:tcW w:w="1128" w:type="dxa"/>
          </w:tcPr>
          <w:p w14:paraId="7D9C0321" w14:textId="7C689A0E" w:rsidR="004536E0" w:rsidRPr="004536E0" w:rsidRDefault="004536E0" w:rsidP="004536E0">
            <w:pPr>
              <w:jc w:val="right"/>
              <w:rPr>
                <w:rFonts w:ascii="Arial" w:hAnsi="Arial" w:cs="Arial"/>
                <w:sz w:val="20"/>
                <w:szCs w:val="20"/>
              </w:rPr>
            </w:pPr>
            <w:r w:rsidRPr="004536E0">
              <w:rPr>
                <w:rFonts w:ascii="Arial" w:hAnsi="Arial" w:cs="Arial"/>
                <w:sz w:val="20"/>
                <w:szCs w:val="20"/>
              </w:rPr>
              <w:t>220</w:t>
            </w:r>
          </w:p>
        </w:tc>
        <w:tc>
          <w:tcPr>
            <w:tcW w:w="1612" w:type="dxa"/>
          </w:tcPr>
          <w:p w14:paraId="6918324A" w14:textId="24189BC5" w:rsidR="004536E0" w:rsidRPr="004536E0" w:rsidRDefault="004536E0" w:rsidP="006A7B0D">
            <w:pPr>
              <w:jc w:val="right"/>
              <w:rPr>
                <w:rFonts w:ascii="Arial" w:hAnsi="Arial" w:cs="Arial"/>
                <w:sz w:val="20"/>
                <w:szCs w:val="20"/>
              </w:rPr>
            </w:pPr>
            <w:r w:rsidRPr="004536E0">
              <w:rPr>
                <w:rFonts w:ascii="Arial" w:hAnsi="Arial" w:cs="Arial"/>
                <w:sz w:val="20"/>
                <w:szCs w:val="20"/>
              </w:rPr>
              <w:t>25</w:t>
            </w:r>
            <w:r w:rsidR="006A7B0D">
              <w:rPr>
                <w:rFonts w:ascii="Arial" w:hAnsi="Arial" w:cs="Arial"/>
                <w:sz w:val="20"/>
                <w:szCs w:val="20"/>
              </w:rPr>
              <w:t>5</w:t>
            </w:r>
            <w:r w:rsidRPr="004536E0">
              <w:rPr>
                <w:rFonts w:ascii="Arial" w:hAnsi="Arial" w:cs="Arial"/>
                <w:sz w:val="20"/>
                <w:szCs w:val="20"/>
              </w:rPr>
              <w:t>.7</w:t>
            </w:r>
          </w:p>
        </w:tc>
        <w:tc>
          <w:tcPr>
            <w:tcW w:w="1360" w:type="dxa"/>
          </w:tcPr>
          <w:p w14:paraId="604E3253" w14:textId="0D1F4113" w:rsidR="004536E0" w:rsidRPr="004536E0" w:rsidRDefault="006A7B0D" w:rsidP="004536E0">
            <w:pPr>
              <w:jc w:val="right"/>
              <w:rPr>
                <w:rFonts w:ascii="Arial" w:hAnsi="Arial" w:cs="Arial"/>
                <w:sz w:val="20"/>
                <w:szCs w:val="20"/>
              </w:rPr>
            </w:pPr>
            <w:r>
              <w:rPr>
                <w:rFonts w:ascii="Arial" w:hAnsi="Arial" w:cs="Arial"/>
                <w:sz w:val="20"/>
                <w:szCs w:val="20"/>
              </w:rPr>
              <w:t>55</w:t>
            </w:r>
            <w:r w:rsidR="004536E0" w:rsidRPr="004536E0">
              <w:rPr>
                <w:rFonts w:ascii="Arial" w:hAnsi="Arial" w:cs="Arial"/>
                <w:sz w:val="20"/>
                <w:szCs w:val="20"/>
              </w:rPr>
              <w:t>.7</w:t>
            </w:r>
          </w:p>
        </w:tc>
        <w:tc>
          <w:tcPr>
            <w:tcW w:w="1536" w:type="dxa"/>
          </w:tcPr>
          <w:p w14:paraId="32ED7424" w14:textId="4291CD27" w:rsidR="004536E0" w:rsidRPr="004536E0" w:rsidRDefault="006A7B0D" w:rsidP="004536E0">
            <w:pPr>
              <w:jc w:val="right"/>
              <w:rPr>
                <w:rFonts w:ascii="Arial" w:hAnsi="Arial" w:cs="Arial"/>
                <w:sz w:val="20"/>
                <w:szCs w:val="20"/>
              </w:rPr>
            </w:pPr>
            <w:r>
              <w:rPr>
                <w:rFonts w:ascii="Arial" w:hAnsi="Arial" w:cs="Arial"/>
                <w:sz w:val="20"/>
                <w:szCs w:val="20"/>
              </w:rPr>
              <w:t>200.1</w:t>
            </w:r>
          </w:p>
        </w:tc>
        <w:tc>
          <w:tcPr>
            <w:tcW w:w="442" w:type="dxa"/>
          </w:tcPr>
          <w:p w14:paraId="5A8D68AF" w14:textId="13E893F6" w:rsidR="004536E0" w:rsidRPr="004536E0" w:rsidRDefault="004536E0" w:rsidP="006A7B0D">
            <w:pPr>
              <w:jc w:val="right"/>
              <w:rPr>
                <w:rFonts w:ascii="Arial" w:hAnsi="Arial" w:cs="Arial"/>
                <w:sz w:val="20"/>
                <w:szCs w:val="20"/>
              </w:rPr>
            </w:pPr>
            <w:r w:rsidRPr="004536E0">
              <w:rPr>
                <w:rFonts w:ascii="Arial" w:hAnsi="Arial" w:cs="Arial"/>
                <w:sz w:val="20"/>
                <w:szCs w:val="20"/>
              </w:rPr>
              <w:t>7</w:t>
            </w:r>
            <w:r w:rsidR="006A7B0D">
              <w:rPr>
                <w:rFonts w:ascii="Arial" w:hAnsi="Arial" w:cs="Arial"/>
                <w:sz w:val="20"/>
                <w:szCs w:val="20"/>
              </w:rPr>
              <w:t>8</w:t>
            </w:r>
            <w:r w:rsidRPr="004536E0">
              <w:rPr>
                <w:rFonts w:ascii="Arial" w:hAnsi="Arial" w:cs="Arial"/>
                <w:sz w:val="20"/>
                <w:szCs w:val="20"/>
              </w:rPr>
              <w:t>.2%</w:t>
            </w:r>
          </w:p>
        </w:tc>
      </w:tr>
      <w:tr w:rsidR="004536E0" w14:paraId="4E9F0D8B" w14:textId="77777777" w:rsidTr="004536E0">
        <w:trPr>
          <w:jc w:val="center"/>
        </w:trPr>
        <w:tc>
          <w:tcPr>
            <w:tcW w:w="761" w:type="dxa"/>
          </w:tcPr>
          <w:p w14:paraId="19DCE1F5" w14:textId="71BD2663" w:rsidR="004536E0" w:rsidRPr="00B719EA" w:rsidRDefault="004536E0" w:rsidP="004536E0">
            <w:pPr>
              <w:keepNext/>
              <w:keepLines/>
              <w:jc w:val="center"/>
              <w:rPr>
                <w:rFonts w:ascii="Arial" w:hAnsi="Arial" w:cs="Arial"/>
                <w:sz w:val="20"/>
                <w:szCs w:val="20"/>
              </w:rPr>
            </w:pPr>
            <w:r w:rsidRPr="00B719EA">
              <w:rPr>
                <w:rFonts w:ascii="Arial" w:hAnsi="Arial" w:cs="Arial"/>
                <w:sz w:val="20"/>
                <w:szCs w:val="20"/>
              </w:rPr>
              <w:t>2</w:t>
            </w:r>
          </w:p>
        </w:tc>
        <w:tc>
          <w:tcPr>
            <w:tcW w:w="1106" w:type="dxa"/>
          </w:tcPr>
          <w:p w14:paraId="49D524B5" w14:textId="6B2346D5" w:rsidR="004536E0" w:rsidRPr="00B719EA" w:rsidRDefault="004536E0" w:rsidP="004536E0">
            <w:pPr>
              <w:rPr>
                <w:rFonts w:ascii="Arial" w:hAnsi="Arial" w:cs="Arial"/>
                <w:color w:val="000000"/>
                <w:sz w:val="20"/>
                <w:szCs w:val="20"/>
              </w:rPr>
            </w:pPr>
            <w:r>
              <w:rPr>
                <w:rFonts w:ascii="Arial" w:hAnsi="Arial" w:cs="Arial"/>
                <w:sz w:val="20"/>
                <w:szCs w:val="20"/>
              </w:rPr>
              <w:t>4</w:t>
            </w:r>
            <w:r w:rsidRPr="00B719EA">
              <w:rPr>
                <w:rFonts w:ascii="Arial" w:hAnsi="Arial" w:cs="Arial"/>
                <w:sz w:val="20"/>
                <w:szCs w:val="20"/>
              </w:rPr>
              <w:t>/</w:t>
            </w:r>
            <w:r>
              <w:rPr>
                <w:rFonts w:ascii="Arial" w:hAnsi="Arial" w:cs="Arial"/>
                <w:sz w:val="20"/>
                <w:szCs w:val="20"/>
              </w:rPr>
              <w:t>17</w:t>
            </w:r>
            <w:r w:rsidRPr="00B719EA">
              <w:rPr>
                <w:rFonts w:ascii="Arial" w:hAnsi="Arial" w:cs="Arial"/>
                <w:sz w:val="20"/>
                <w:szCs w:val="20"/>
              </w:rPr>
              <w:t>/2014</w:t>
            </w:r>
          </w:p>
        </w:tc>
        <w:tc>
          <w:tcPr>
            <w:tcW w:w="911" w:type="dxa"/>
          </w:tcPr>
          <w:p w14:paraId="10EE1025" w14:textId="7160DE82" w:rsidR="004536E0" w:rsidRPr="00B719EA" w:rsidRDefault="004536E0" w:rsidP="004536E0">
            <w:pPr>
              <w:keepNext/>
              <w:keepLines/>
              <w:rPr>
                <w:rFonts w:ascii="Arial" w:hAnsi="Arial" w:cs="Arial"/>
                <w:sz w:val="20"/>
                <w:szCs w:val="20"/>
              </w:rPr>
            </w:pPr>
            <w:r>
              <w:rPr>
                <w:rFonts w:ascii="Arial" w:hAnsi="Arial" w:cs="Arial"/>
                <w:sz w:val="20"/>
                <w:szCs w:val="20"/>
              </w:rPr>
              <w:t>Thurs.</w:t>
            </w:r>
          </w:p>
        </w:tc>
        <w:tc>
          <w:tcPr>
            <w:tcW w:w="1128" w:type="dxa"/>
          </w:tcPr>
          <w:p w14:paraId="23858235" w14:textId="4525D17B" w:rsidR="004536E0" w:rsidRPr="004536E0" w:rsidRDefault="004536E0" w:rsidP="004536E0">
            <w:pPr>
              <w:jc w:val="right"/>
              <w:rPr>
                <w:rFonts w:ascii="Arial" w:hAnsi="Arial" w:cs="Arial"/>
                <w:sz w:val="20"/>
                <w:szCs w:val="20"/>
              </w:rPr>
            </w:pPr>
          </w:p>
        </w:tc>
        <w:tc>
          <w:tcPr>
            <w:tcW w:w="1612" w:type="dxa"/>
          </w:tcPr>
          <w:p w14:paraId="17EE0D7F" w14:textId="25082951" w:rsidR="004536E0" w:rsidRPr="004536E0" w:rsidRDefault="004536E0" w:rsidP="004536E0">
            <w:pPr>
              <w:jc w:val="right"/>
              <w:rPr>
                <w:rFonts w:ascii="Arial" w:hAnsi="Arial" w:cs="Arial"/>
                <w:sz w:val="20"/>
                <w:szCs w:val="20"/>
              </w:rPr>
            </w:pPr>
          </w:p>
        </w:tc>
        <w:tc>
          <w:tcPr>
            <w:tcW w:w="1360" w:type="dxa"/>
          </w:tcPr>
          <w:p w14:paraId="22888181" w14:textId="7A583578" w:rsidR="004536E0" w:rsidRPr="004536E0" w:rsidRDefault="004536E0" w:rsidP="004536E0">
            <w:pPr>
              <w:jc w:val="right"/>
              <w:rPr>
                <w:rFonts w:ascii="Arial" w:hAnsi="Arial" w:cs="Arial"/>
                <w:sz w:val="20"/>
                <w:szCs w:val="20"/>
              </w:rPr>
            </w:pPr>
          </w:p>
        </w:tc>
        <w:tc>
          <w:tcPr>
            <w:tcW w:w="1536" w:type="dxa"/>
          </w:tcPr>
          <w:p w14:paraId="69DCE676" w14:textId="6FB47E25" w:rsidR="004536E0" w:rsidRPr="004536E0" w:rsidRDefault="004536E0" w:rsidP="004536E0">
            <w:pPr>
              <w:jc w:val="right"/>
              <w:rPr>
                <w:rFonts w:ascii="Arial" w:hAnsi="Arial" w:cs="Arial"/>
                <w:sz w:val="20"/>
                <w:szCs w:val="20"/>
              </w:rPr>
            </w:pPr>
          </w:p>
        </w:tc>
        <w:tc>
          <w:tcPr>
            <w:tcW w:w="442" w:type="dxa"/>
          </w:tcPr>
          <w:p w14:paraId="5A822A56" w14:textId="73CF386C" w:rsidR="004536E0" w:rsidRPr="004536E0" w:rsidRDefault="004536E0" w:rsidP="004536E0">
            <w:pPr>
              <w:jc w:val="right"/>
              <w:rPr>
                <w:rFonts w:ascii="Arial" w:hAnsi="Arial" w:cs="Arial"/>
                <w:sz w:val="20"/>
                <w:szCs w:val="20"/>
              </w:rPr>
            </w:pPr>
          </w:p>
        </w:tc>
      </w:tr>
      <w:tr w:rsidR="004536E0" w14:paraId="749181AE" w14:textId="77777777" w:rsidTr="004536E0">
        <w:trPr>
          <w:jc w:val="center"/>
        </w:trPr>
        <w:tc>
          <w:tcPr>
            <w:tcW w:w="761" w:type="dxa"/>
          </w:tcPr>
          <w:p w14:paraId="4FBE2A42" w14:textId="0E1050B2" w:rsidR="004536E0" w:rsidRPr="00B719EA" w:rsidRDefault="004536E0" w:rsidP="004536E0">
            <w:pPr>
              <w:keepNext/>
              <w:keepLines/>
              <w:jc w:val="center"/>
              <w:rPr>
                <w:rFonts w:ascii="Arial" w:hAnsi="Arial" w:cs="Arial"/>
                <w:sz w:val="20"/>
                <w:szCs w:val="20"/>
              </w:rPr>
            </w:pPr>
            <w:r w:rsidRPr="00B719EA">
              <w:rPr>
                <w:rFonts w:ascii="Arial" w:hAnsi="Arial" w:cs="Arial"/>
                <w:sz w:val="20"/>
                <w:szCs w:val="20"/>
              </w:rPr>
              <w:t>3</w:t>
            </w:r>
          </w:p>
        </w:tc>
        <w:tc>
          <w:tcPr>
            <w:tcW w:w="1106" w:type="dxa"/>
          </w:tcPr>
          <w:p w14:paraId="4D681625" w14:textId="53157438" w:rsidR="004536E0" w:rsidRPr="00B719EA" w:rsidRDefault="004536E0" w:rsidP="004536E0">
            <w:pPr>
              <w:rPr>
                <w:rFonts w:ascii="Arial" w:hAnsi="Arial" w:cs="Arial"/>
                <w:color w:val="000000"/>
                <w:sz w:val="20"/>
                <w:szCs w:val="20"/>
              </w:rPr>
            </w:pPr>
            <w:r>
              <w:rPr>
                <w:rFonts w:ascii="Arial" w:hAnsi="Arial" w:cs="Arial"/>
                <w:sz w:val="20"/>
                <w:szCs w:val="20"/>
              </w:rPr>
              <w:t>5</w:t>
            </w:r>
            <w:r w:rsidRPr="00B719EA">
              <w:rPr>
                <w:rFonts w:ascii="Arial" w:hAnsi="Arial" w:cs="Arial"/>
                <w:sz w:val="20"/>
                <w:szCs w:val="20"/>
              </w:rPr>
              <w:t>/</w:t>
            </w:r>
            <w:r>
              <w:rPr>
                <w:rFonts w:ascii="Arial" w:hAnsi="Arial" w:cs="Arial"/>
                <w:sz w:val="20"/>
                <w:szCs w:val="20"/>
              </w:rPr>
              <w:t>15</w:t>
            </w:r>
            <w:r w:rsidRPr="00B719EA">
              <w:rPr>
                <w:rFonts w:ascii="Arial" w:hAnsi="Arial" w:cs="Arial"/>
                <w:sz w:val="20"/>
                <w:szCs w:val="20"/>
              </w:rPr>
              <w:t>/2014</w:t>
            </w:r>
          </w:p>
        </w:tc>
        <w:tc>
          <w:tcPr>
            <w:tcW w:w="911" w:type="dxa"/>
          </w:tcPr>
          <w:p w14:paraId="2D26600F" w14:textId="6FD8F078" w:rsidR="004536E0" w:rsidRPr="00B719EA" w:rsidRDefault="004536E0" w:rsidP="004536E0">
            <w:pPr>
              <w:keepNext/>
              <w:keepLines/>
              <w:rPr>
                <w:rFonts w:ascii="Arial" w:hAnsi="Arial" w:cs="Arial"/>
                <w:sz w:val="20"/>
                <w:szCs w:val="20"/>
              </w:rPr>
            </w:pPr>
            <w:r>
              <w:rPr>
                <w:rFonts w:ascii="Arial" w:hAnsi="Arial" w:cs="Arial"/>
                <w:sz w:val="20"/>
                <w:szCs w:val="20"/>
              </w:rPr>
              <w:t>Thurs.</w:t>
            </w:r>
          </w:p>
        </w:tc>
        <w:tc>
          <w:tcPr>
            <w:tcW w:w="1128" w:type="dxa"/>
          </w:tcPr>
          <w:p w14:paraId="77AA7CA0" w14:textId="6855D2EA" w:rsidR="004536E0" w:rsidRPr="004536E0" w:rsidRDefault="004536E0" w:rsidP="004536E0">
            <w:pPr>
              <w:jc w:val="right"/>
              <w:rPr>
                <w:rFonts w:ascii="Arial" w:hAnsi="Arial" w:cs="Arial"/>
                <w:sz w:val="20"/>
                <w:szCs w:val="20"/>
              </w:rPr>
            </w:pPr>
          </w:p>
        </w:tc>
        <w:tc>
          <w:tcPr>
            <w:tcW w:w="1612" w:type="dxa"/>
          </w:tcPr>
          <w:p w14:paraId="343FF864" w14:textId="500EF18F" w:rsidR="004536E0" w:rsidRPr="004536E0" w:rsidRDefault="004536E0" w:rsidP="004536E0">
            <w:pPr>
              <w:jc w:val="right"/>
              <w:rPr>
                <w:rFonts w:ascii="Arial" w:hAnsi="Arial" w:cs="Arial"/>
                <w:sz w:val="20"/>
                <w:szCs w:val="20"/>
              </w:rPr>
            </w:pPr>
          </w:p>
        </w:tc>
        <w:tc>
          <w:tcPr>
            <w:tcW w:w="1360" w:type="dxa"/>
          </w:tcPr>
          <w:p w14:paraId="1528DF1C" w14:textId="13F59983" w:rsidR="004536E0" w:rsidRPr="004536E0" w:rsidRDefault="004536E0" w:rsidP="004536E0">
            <w:pPr>
              <w:jc w:val="right"/>
              <w:rPr>
                <w:rFonts w:ascii="Arial" w:hAnsi="Arial" w:cs="Arial"/>
                <w:sz w:val="20"/>
                <w:szCs w:val="20"/>
              </w:rPr>
            </w:pPr>
          </w:p>
        </w:tc>
        <w:tc>
          <w:tcPr>
            <w:tcW w:w="1536" w:type="dxa"/>
          </w:tcPr>
          <w:p w14:paraId="5C03F349" w14:textId="3FBEC0C2" w:rsidR="004536E0" w:rsidRPr="004536E0" w:rsidRDefault="004536E0" w:rsidP="004536E0">
            <w:pPr>
              <w:jc w:val="right"/>
              <w:rPr>
                <w:rFonts w:ascii="Arial" w:hAnsi="Arial" w:cs="Arial"/>
                <w:sz w:val="20"/>
                <w:szCs w:val="20"/>
              </w:rPr>
            </w:pPr>
          </w:p>
        </w:tc>
        <w:tc>
          <w:tcPr>
            <w:tcW w:w="442" w:type="dxa"/>
          </w:tcPr>
          <w:p w14:paraId="1E99279D" w14:textId="56E23958" w:rsidR="004536E0" w:rsidRPr="004536E0" w:rsidRDefault="004536E0" w:rsidP="004536E0">
            <w:pPr>
              <w:jc w:val="right"/>
              <w:rPr>
                <w:rFonts w:ascii="Arial" w:hAnsi="Arial" w:cs="Arial"/>
                <w:sz w:val="20"/>
                <w:szCs w:val="20"/>
              </w:rPr>
            </w:pPr>
          </w:p>
        </w:tc>
      </w:tr>
      <w:tr w:rsidR="004536E0" w14:paraId="6903F70E" w14:textId="77777777" w:rsidTr="004536E0">
        <w:trPr>
          <w:jc w:val="center"/>
        </w:trPr>
        <w:tc>
          <w:tcPr>
            <w:tcW w:w="761" w:type="dxa"/>
          </w:tcPr>
          <w:p w14:paraId="77177EC4" w14:textId="301F0AEA" w:rsidR="004536E0" w:rsidRPr="00B719EA" w:rsidRDefault="004536E0" w:rsidP="004536E0">
            <w:pPr>
              <w:keepNext/>
              <w:keepLines/>
              <w:jc w:val="center"/>
              <w:rPr>
                <w:rFonts w:ascii="Arial" w:hAnsi="Arial" w:cs="Arial"/>
                <w:sz w:val="20"/>
                <w:szCs w:val="20"/>
              </w:rPr>
            </w:pPr>
            <w:r w:rsidRPr="00B719EA">
              <w:rPr>
                <w:rFonts w:ascii="Arial" w:hAnsi="Arial" w:cs="Arial"/>
                <w:sz w:val="20"/>
                <w:szCs w:val="20"/>
              </w:rPr>
              <w:t>4</w:t>
            </w:r>
          </w:p>
        </w:tc>
        <w:tc>
          <w:tcPr>
            <w:tcW w:w="1106" w:type="dxa"/>
          </w:tcPr>
          <w:p w14:paraId="5B671B24" w14:textId="5EE4A556" w:rsidR="004536E0" w:rsidRPr="00B719EA" w:rsidRDefault="004536E0" w:rsidP="004536E0">
            <w:pPr>
              <w:rPr>
                <w:rFonts w:ascii="Arial" w:hAnsi="Arial" w:cs="Arial"/>
                <w:color w:val="000000"/>
                <w:sz w:val="20"/>
                <w:szCs w:val="20"/>
              </w:rPr>
            </w:pPr>
            <w:r>
              <w:rPr>
                <w:rFonts w:ascii="Arial" w:hAnsi="Arial" w:cs="Arial"/>
                <w:sz w:val="20"/>
                <w:szCs w:val="20"/>
              </w:rPr>
              <w:t>9</w:t>
            </w:r>
            <w:r w:rsidRPr="00B719EA">
              <w:rPr>
                <w:rFonts w:ascii="Arial" w:hAnsi="Arial" w:cs="Arial"/>
                <w:sz w:val="20"/>
                <w:szCs w:val="20"/>
              </w:rPr>
              <w:t>/1</w:t>
            </w:r>
            <w:r>
              <w:rPr>
                <w:rFonts w:ascii="Arial" w:hAnsi="Arial" w:cs="Arial"/>
                <w:sz w:val="20"/>
                <w:szCs w:val="20"/>
              </w:rPr>
              <w:t>1</w:t>
            </w:r>
            <w:r w:rsidRPr="00B719EA">
              <w:rPr>
                <w:rFonts w:ascii="Arial" w:hAnsi="Arial" w:cs="Arial"/>
                <w:sz w:val="20"/>
                <w:szCs w:val="20"/>
              </w:rPr>
              <w:t>/2014</w:t>
            </w:r>
          </w:p>
        </w:tc>
        <w:tc>
          <w:tcPr>
            <w:tcW w:w="911" w:type="dxa"/>
          </w:tcPr>
          <w:p w14:paraId="1D890A53" w14:textId="1689C196" w:rsidR="004536E0" w:rsidRPr="00B719EA" w:rsidRDefault="004536E0" w:rsidP="004536E0">
            <w:pPr>
              <w:keepNext/>
              <w:keepLines/>
              <w:rPr>
                <w:rFonts w:ascii="Arial" w:hAnsi="Arial" w:cs="Arial"/>
                <w:sz w:val="20"/>
                <w:szCs w:val="20"/>
              </w:rPr>
            </w:pPr>
            <w:r>
              <w:rPr>
                <w:rFonts w:ascii="Arial" w:hAnsi="Arial" w:cs="Arial"/>
                <w:sz w:val="20"/>
                <w:szCs w:val="20"/>
              </w:rPr>
              <w:t>Thurs.</w:t>
            </w:r>
          </w:p>
        </w:tc>
        <w:tc>
          <w:tcPr>
            <w:tcW w:w="1128" w:type="dxa"/>
          </w:tcPr>
          <w:p w14:paraId="48B890F5" w14:textId="5FB56B96" w:rsidR="004536E0" w:rsidRPr="004536E0" w:rsidRDefault="004536E0" w:rsidP="004536E0">
            <w:pPr>
              <w:jc w:val="right"/>
              <w:rPr>
                <w:rFonts w:ascii="Arial" w:hAnsi="Arial" w:cs="Arial"/>
                <w:sz w:val="20"/>
                <w:szCs w:val="20"/>
              </w:rPr>
            </w:pPr>
            <w:r w:rsidRPr="004536E0">
              <w:rPr>
                <w:rFonts w:ascii="Arial" w:hAnsi="Arial" w:cs="Arial"/>
                <w:sz w:val="20"/>
                <w:szCs w:val="20"/>
              </w:rPr>
              <w:t>218</w:t>
            </w:r>
          </w:p>
        </w:tc>
        <w:tc>
          <w:tcPr>
            <w:tcW w:w="1612" w:type="dxa"/>
          </w:tcPr>
          <w:p w14:paraId="2D5DC841" w14:textId="4DED3B6C" w:rsidR="004536E0" w:rsidRPr="004536E0" w:rsidRDefault="004536E0" w:rsidP="004536E0">
            <w:pPr>
              <w:jc w:val="right"/>
              <w:rPr>
                <w:rFonts w:ascii="Arial" w:hAnsi="Arial" w:cs="Arial"/>
                <w:sz w:val="20"/>
                <w:szCs w:val="20"/>
              </w:rPr>
            </w:pPr>
            <w:r w:rsidRPr="004536E0">
              <w:rPr>
                <w:rFonts w:ascii="Arial" w:hAnsi="Arial" w:cs="Arial"/>
                <w:sz w:val="20"/>
                <w:szCs w:val="20"/>
              </w:rPr>
              <w:t>285.8</w:t>
            </w:r>
          </w:p>
        </w:tc>
        <w:tc>
          <w:tcPr>
            <w:tcW w:w="1360" w:type="dxa"/>
          </w:tcPr>
          <w:p w14:paraId="01D81EA3" w14:textId="210D8796" w:rsidR="004536E0" w:rsidRPr="004536E0" w:rsidRDefault="004536E0" w:rsidP="004536E0">
            <w:pPr>
              <w:jc w:val="right"/>
              <w:rPr>
                <w:rFonts w:ascii="Arial" w:hAnsi="Arial" w:cs="Arial"/>
                <w:sz w:val="20"/>
                <w:szCs w:val="20"/>
              </w:rPr>
            </w:pPr>
            <w:r w:rsidRPr="004536E0">
              <w:rPr>
                <w:rFonts w:ascii="Arial" w:hAnsi="Arial" w:cs="Arial"/>
                <w:sz w:val="20"/>
                <w:szCs w:val="20"/>
              </w:rPr>
              <w:t>57.6</w:t>
            </w:r>
          </w:p>
        </w:tc>
        <w:tc>
          <w:tcPr>
            <w:tcW w:w="1536" w:type="dxa"/>
          </w:tcPr>
          <w:p w14:paraId="5B1C0F75" w14:textId="1F1747CE" w:rsidR="004536E0" w:rsidRPr="004536E0" w:rsidRDefault="004536E0" w:rsidP="004536E0">
            <w:pPr>
              <w:jc w:val="right"/>
              <w:rPr>
                <w:rFonts w:ascii="Arial" w:hAnsi="Arial" w:cs="Arial"/>
                <w:sz w:val="20"/>
                <w:szCs w:val="20"/>
              </w:rPr>
            </w:pPr>
            <w:r w:rsidRPr="004536E0">
              <w:rPr>
                <w:rFonts w:ascii="Arial" w:hAnsi="Arial" w:cs="Arial"/>
                <w:sz w:val="20"/>
                <w:szCs w:val="20"/>
              </w:rPr>
              <w:t>228.2</w:t>
            </w:r>
          </w:p>
        </w:tc>
        <w:tc>
          <w:tcPr>
            <w:tcW w:w="442" w:type="dxa"/>
          </w:tcPr>
          <w:p w14:paraId="5E89D6D8" w14:textId="5B2A7A28" w:rsidR="004536E0" w:rsidRPr="004536E0" w:rsidRDefault="004536E0" w:rsidP="004536E0">
            <w:pPr>
              <w:jc w:val="right"/>
              <w:rPr>
                <w:rFonts w:ascii="Arial" w:hAnsi="Arial" w:cs="Arial"/>
                <w:sz w:val="20"/>
                <w:szCs w:val="20"/>
              </w:rPr>
            </w:pPr>
            <w:r w:rsidRPr="004536E0">
              <w:rPr>
                <w:rFonts w:ascii="Arial" w:hAnsi="Arial" w:cs="Arial"/>
                <w:sz w:val="20"/>
                <w:szCs w:val="20"/>
              </w:rPr>
              <w:t>79.8%</w:t>
            </w:r>
          </w:p>
        </w:tc>
      </w:tr>
    </w:tbl>
    <w:p w14:paraId="4BCDE1FC" w14:textId="77777777" w:rsidR="00413FAA" w:rsidRDefault="00413FAA" w:rsidP="00146E50"/>
    <w:p w14:paraId="346368C6" w14:textId="724CF51C" w:rsidR="00262D55" w:rsidRPr="00CE21AB" w:rsidRDefault="007D5F7C" w:rsidP="00146E50">
      <w:r w:rsidRPr="00CE21AB">
        <w:t xml:space="preserve">Table 4.2 compares the </w:t>
      </w:r>
      <w:r w:rsidR="00972362">
        <w:t>observed loads and FSLs by event day. During the two events in which all service a</w:t>
      </w:r>
      <w:r w:rsidR="00383F6F">
        <w:t>greement</w:t>
      </w:r>
      <w:r w:rsidR="00972362">
        <w:t>s were called (February 6</w:t>
      </w:r>
      <w:r w:rsidR="00972362" w:rsidRPr="00972362">
        <w:rPr>
          <w:vertAlign w:val="superscript"/>
        </w:rPr>
        <w:t>th</w:t>
      </w:r>
      <w:r w:rsidR="00972362">
        <w:t xml:space="preserve"> and September 11</w:t>
      </w:r>
      <w:r w:rsidR="00972362" w:rsidRPr="00972362">
        <w:rPr>
          <w:vertAlign w:val="superscript"/>
        </w:rPr>
        <w:t>th</w:t>
      </w:r>
      <w:r w:rsidR="00972362">
        <w:t xml:space="preserve">), the program load was below the aggregate FSL. This was not the case during the two smaller re-test events. The ratio of the estimated load impact (shown in Table 4.1) to the load impact that would have occurred if customers had (in aggregate) exactly attained their FSL is shown in the rightmost column. </w:t>
      </w:r>
      <w:r w:rsidR="00D77BD3">
        <w:t>That is, 100% indicates that observed loads exactly match the FSL (in aggregate, when averaged across event hours).</w:t>
      </w:r>
      <w:r w:rsidR="00A94317">
        <w:t xml:space="preserve"> Note that portions of the table have been removed due to confidentiality concerns.</w:t>
      </w:r>
    </w:p>
    <w:p w14:paraId="64B740CE" w14:textId="77777777" w:rsidR="007D5F7C" w:rsidRDefault="007D5F7C" w:rsidP="00146E50"/>
    <w:p w14:paraId="653E069C" w14:textId="05D832AD" w:rsidR="00EF7726" w:rsidRPr="00852320" w:rsidRDefault="00EF7726" w:rsidP="00EF7726">
      <w:pPr>
        <w:pStyle w:val="TableCaption"/>
        <w:keepNext/>
        <w:keepLines/>
      </w:pPr>
      <w:bookmarkStart w:id="65" w:name="_Toc415489009"/>
      <w:r w:rsidRPr="00852320">
        <w:lastRenderedPageBreak/>
        <w:t xml:space="preserve">Table </w:t>
      </w:r>
      <w:r w:rsidR="00F02657" w:rsidRPr="00852320">
        <w:t>4.2</w:t>
      </w:r>
      <w:r w:rsidRPr="00852320">
        <w:t xml:space="preserve">: Average Hourly </w:t>
      </w:r>
      <w:r w:rsidR="006A7B0D">
        <w:t xml:space="preserve">Observed Loads and FSLs </w:t>
      </w:r>
      <w:r w:rsidRPr="00852320">
        <w:t>by Event</w:t>
      </w:r>
      <w:r w:rsidRPr="00852320">
        <w:rPr>
          <w:i/>
        </w:rPr>
        <w:t>, PG&amp;E</w:t>
      </w:r>
      <w:bookmarkEnd w:id="6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1106"/>
        <w:gridCol w:w="1369"/>
        <w:gridCol w:w="1934"/>
        <w:gridCol w:w="2188"/>
        <w:gridCol w:w="1497"/>
      </w:tblGrid>
      <w:tr w:rsidR="00972362" w14:paraId="7E7A179E" w14:textId="02AC61CC" w:rsidTr="00972362">
        <w:trPr>
          <w:jc w:val="center"/>
        </w:trPr>
        <w:tc>
          <w:tcPr>
            <w:tcW w:w="0" w:type="auto"/>
            <w:shd w:val="clear" w:color="auto" w:fill="D9E2F3"/>
            <w:vAlign w:val="center"/>
          </w:tcPr>
          <w:p w14:paraId="1D50755F" w14:textId="77777777" w:rsidR="00972362" w:rsidRPr="007E0A27" w:rsidRDefault="00972362" w:rsidP="001753F1">
            <w:pPr>
              <w:keepNext/>
              <w:keepLines/>
              <w:jc w:val="center"/>
              <w:rPr>
                <w:rFonts w:ascii="Arial" w:hAnsi="Arial" w:cs="Arial"/>
                <w:b/>
                <w:sz w:val="20"/>
                <w:szCs w:val="20"/>
              </w:rPr>
            </w:pPr>
            <w:r w:rsidRPr="007E0A27">
              <w:rPr>
                <w:rFonts w:ascii="Arial" w:hAnsi="Arial" w:cs="Arial"/>
                <w:b/>
                <w:sz w:val="20"/>
                <w:szCs w:val="20"/>
              </w:rPr>
              <w:t>Event</w:t>
            </w:r>
          </w:p>
        </w:tc>
        <w:tc>
          <w:tcPr>
            <w:tcW w:w="0" w:type="auto"/>
            <w:shd w:val="clear" w:color="auto" w:fill="D9E2F3"/>
            <w:vAlign w:val="center"/>
          </w:tcPr>
          <w:p w14:paraId="32B384B2" w14:textId="77777777" w:rsidR="00972362" w:rsidRPr="007E0A27" w:rsidRDefault="00972362" w:rsidP="001753F1">
            <w:pPr>
              <w:keepNext/>
              <w:keepLines/>
              <w:jc w:val="center"/>
              <w:rPr>
                <w:rFonts w:ascii="Arial" w:hAnsi="Arial" w:cs="Arial"/>
                <w:b/>
                <w:sz w:val="20"/>
                <w:szCs w:val="20"/>
              </w:rPr>
            </w:pPr>
            <w:r w:rsidRPr="007E0A27">
              <w:rPr>
                <w:rFonts w:ascii="Arial" w:hAnsi="Arial" w:cs="Arial"/>
                <w:b/>
                <w:sz w:val="20"/>
                <w:szCs w:val="20"/>
              </w:rPr>
              <w:t>Date</w:t>
            </w:r>
          </w:p>
        </w:tc>
        <w:tc>
          <w:tcPr>
            <w:tcW w:w="0" w:type="auto"/>
            <w:shd w:val="clear" w:color="auto" w:fill="D9E2F3"/>
            <w:vAlign w:val="center"/>
          </w:tcPr>
          <w:p w14:paraId="2BF66992" w14:textId="77777777" w:rsidR="00972362" w:rsidRPr="007E0A27" w:rsidRDefault="00972362" w:rsidP="001753F1">
            <w:pPr>
              <w:keepNext/>
              <w:keepLines/>
              <w:jc w:val="center"/>
              <w:rPr>
                <w:rFonts w:ascii="Arial" w:hAnsi="Arial" w:cs="Arial"/>
                <w:b/>
                <w:sz w:val="20"/>
                <w:szCs w:val="20"/>
              </w:rPr>
            </w:pPr>
            <w:r w:rsidRPr="007E0A27">
              <w:rPr>
                <w:rFonts w:ascii="Arial" w:hAnsi="Arial" w:cs="Arial"/>
                <w:b/>
                <w:sz w:val="20"/>
                <w:szCs w:val="20"/>
              </w:rPr>
              <w:t>Day of Week</w:t>
            </w:r>
          </w:p>
        </w:tc>
        <w:tc>
          <w:tcPr>
            <w:tcW w:w="0" w:type="auto"/>
            <w:shd w:val="clear" w:color="auto" w:fill="D9E2F3"/>
          </w:tcPr>
          <w:p w14:paraId="5A464C8E" w14:textId="77777777" w:rsidR="00972362" w:rsidRDefault="00972362" w:rsidP="004536E0">
            <w:pPr>
              <w:keepNext/>
              <w:keepLines/>
              <w:jc w:val="center"/>
              <w:rPr>
                <w:rFonts w:ascii="Arial" w:hAnsi="Arial" w:cs="Arial"/>
                <w:b/>
                <w:sz w:val="20"/>
                <w:szCs w:val="20"/>
              </w:rPr>
            </w:pPr>
            <w:r w:rsidRPr="007E0A27">
              <w:rPr>
                <w:rFonts w:ascii="Arial" w:hAnsi="Arial" w:cs="Arial"/>
                <w:b/>
                <w:sz w:val="20"/>
                <w:szCs w:val="20"/>
              </w:rPr>
              <w:t xml:space="preserve">Average </w:t>
            </w:r>
            <w:r>
              <w:rPr>
                <w:rFonts w:ascii="Arial" w:hAnsi="Arial" w:cs="Arial"/>
                <w:b/>
                <w:sz w:val="20"/>
                <w:szCs w:val="20"/>
              </w:rPr>
              <w:t xml:space="preserve">Observed </w:t>
            </w:r>
          </w:p>
          <w:p w14:paraId="273CD5C4" w14:textId="55F3D5B3" w:rsidR="00972362" w:rsidRPr="007E0A27" w:rsidRDefault="00972362" w:rsidP="004536E0">
            <w:pPr>
              <w:keepNext/>
              <w:keepLines/>
              <w:jc w:val="center"/>
              <w:rPr>
                <w:rFonts w:ascii="Arial" w:hAnsi="Arial" w:cs="Arial"/>
                <w:b/>
                <w:sz w:val="20"/>
                <w:szCs w:val="20"/>
              </w:rPr>
            </w:pPr>
            <w:r>
              <w:rPr>
                <w:rFonts w:ascii="Arial" w:hAnsi="Arial" w:cs="Arial"/>
                <w:b/>
                <w:sz w:val="20"/>
                <w:szCs w:val="20"/>
              </w:rPr>
              <w:t>Load</w:t>
            </w:r>
            <w:r w:rsidRPr="007E0A27">
              <w:rPr>
                <w:rFonts w:ascii="Arial" w:hAnsi="Arial" w:cs="Arial"/>
                <w:b/>
                <w:sz w:val="20"/>
                <w:szCs w:val="20"/>
              </w:rPr>
              <w:t xml:space="preserve"> (MW)</w:t>
            </w:r>
          </w:p>
        </w:tc>
        <w:tc>
          <w:tcPr>
            <w:tcW w:w="0" w:type="auto"/>
            <w:shd w:val="clear" w:color="auto" w:fill="D9E2F3"/>
            <w:vAlign w:val="center"/>
          </w:tcPr>
          <w:p w14:paraId="065A265F" w14:textId="77777777" w:rsidR="00972362" w:rsidRDefault="00972362" w:rsidP="004536E0">
            <w:pPr>
              <w:keepNext/>
              <w:keepLines/>
              <w:jc w:val="center"/>
              <w:rPr>
                <w:rFonts w:ascii="Arial" w:hAnsi="Arial" w:cs="Arial"/>
                <w:b/>
                <w:sz w:val="20"/>
                <w:szCs w:val="20"/>
              </w:rPr>
            </w:pPr>
            <w:r>
              <w:rPr>
                <w:rFonts w:ascii="Arial" w:hAnsi="Arial" w:cs="Arial"/>
                <w:b/>
                <w:sz w:val="20"/>
                <w:szCs w:val="20"/>
              </w:rPr>
              <w:t xml:space="preserve">Average Firm Service </w:t>
            </w:r>
          </w:p>
          <w:p w14:paraId="63E17DDE" w14:textId="4B7EC508" w:rsidR="00972362" w:rsidRPr="007E0A27" w:rsidRDefault="00972362" w:rsidP="004536E0">
            <w:pPr>
              <w:keepNext/>
              <w:keepLines/>
              <w:jc w:val="center"/>
              <w:rPr>
                <w:rFonts w:ascii="Arial" w:hAnsi="Arial" w:cs="Arial"/>
                <w:b/>
                <w:sz w:val="20"/>
                <w:szCs w:val="20"/>
              </w:rPr>
            </w:pPr>
            <w:r>
              <w:rPr>
                <w:rFonts w:ascii="Arial" w:hAnsi="Arial" w:cs="Arial"/>
                <w:b/>
                <w:sz w:val="20"/>
                <w:szCs w:val="20"/>
              </w:rPr>
              <w:t>Level</w:t>
            </w:r>
            <w:r w:rsidRPr="007E0A27">
              <w:rPr>
                <w:rFonts w:ascii="Arial" w:hAnsi="Arial" w:cs="Arial"/>
                <w:b/>
                <w:sz w:val="20"/>
                <w:szCs w:val="20"/>
              </w:rPr>
              <w:t xml:space="preserve"> (MW)</w:t>
            </w:r>
          </w:p>
        </w:tc>
        <w:tc>
          <w:tcPr>
            <w:tcW w:w="0" w:type="auto"/>
            <w:shd w:val="clear" w:color="auto" w:fill="D9E2F3"/>
          </w:tcPr>
          <w:p w14:paraId="64C5853F" w14:textId="77777777" w:rsidR="00972362" w:rsidRDefault="00972362" w:rsidP="004536E0">
            <w:pPr>
              <w:keepNext/>
              <w:keepLines/>
              <w:jc w:val="center"/>
              <w:rPr>
                <w:rFonts w:ascii="Arial" w:hAnsi="Arial" w:cs="Arial"/>
                <w:b/>
                <w:sz w:val="20"/>
                <w:szCs w:val="20"/>
              </w:rPr>
            </w:pPr>
            <w:r>
              <w:rPr>
                <w:rFonts w:ascii="Arial" w:hAnsi="Arial" w:cs="Arial"/>
                <w:b/>
                <w:sz w:val="20"/>
                <w:szCs w:val="20"/>
              </w:rPr>
              <w:t xml:space="preserve">Estimated LI / </w:t>
            </w:r>
          </w:p>
          <w:p w14:paraId="2A307ACB" w14:textId="0895A9AB" w:rsidR="00972362" w:rsidRDefault="00972362" w:rsidP="004536E0">
            <w:pPr>
              <w:keepNext/>
              <w:keepLines/>
              <w:jc w:val="center"/>
              <w:rPr>
                <w:rFonts w:ascii="Arial" w:hAnsi="Arial" w:cs="Arial"/>
                <w:b/>
                <w:sz w:val="20"/>
                <w:szCs w:val="20"/>
              </w:rPr>
            </w:pPr>
            <w:r>
              <w:rPr>
                <w:rFonts w:ascii="Arial" w:hAnsi="Arial" w:cs="Arial"/>
                <w:b/>
                <w:sz w:val="20"/>
                <w:szCs w:val="20"/>
              </w:rPr>
              <w:t>LI at FSL</w:t>
            </w:r>
          </w:p>
        </w:tc>
      </w:tr>
      <w:tr w:rsidR="00972362" w14:paraId="2E055E4A" w14:textId="20E3939E" w:rsidTr="00972362">
        <w:trPr>
          <w:jc w:val="center"/>
        </w:trPr>
        <w:tc>
          <w:tcPr>
            <w:tcW w:w="0" w:type="auto"/>
          </w:tcPr>
          <w:p w14:paraId="03212BF1" w14:textId="7659CD7C" w:rsidR="00972362" w:rsidRPr="007E0A27" w:rsidRDefault="00972362" w:rsidP="006A7B0D">
            <w:pPr>
              <w:keepNext/>
              <w:keepLines/>
              <w:jc w:val="center"/>
              <w:rPr>
                <w:rFonts w:ascii="Arial" w:hAnsi="Arial" w:cs="Arial"/>
                <w:sz w:val="20"/>
                <w:szCs w:val="20"/>
              </w:rPr>
            </w:pPr>
            <w:r w:rsidRPr="00B719EA">
              <w:rPr>
                <w:rFonts w:ascii="Arial" w:hAnsi="Arial" w:cs="Arial"/>
                <w:sz w:val="20"/>
                <w:szCs w:val="20"/>
              </w:rPr>
              <w:t>1</w:t>
            </w:r>
          </w:p>
        </w:tc>
        <w:tc>
          <w:tcPr>
            <w:tcW w:w="0" w:type="auto"/>
          </w:tcPr>
          <w:p w14:paraId="2A9F605E" w14:textId="06B8E8EB" w:rsidR="00972362" w:rsidRPr="00D71AD7" w:rsidRDefault="00972362" w:rsidP="006A7B0D">
            <w:pPr>
              <w:rPr>
                <w:rFonts w:ascii="Arial" w:hAnsi="Arial" w:cs="Arial"/>
                <w:color w:val="000000"/>
                <w:sz w:val="20"/>
                <w:szCs w:val="20"/>
              </w:rPr>
            </w:pPr>
            <w:r>
              <w:rPr>
                <w:rFonts w:ascii="Arial" w:hAnsi="Arial" w:cs="Arial"/>
                <w:sz w:val="20"/>
                <w:szCs w:val="20"/>
              </w:rPr>
              <w:t>2</w:t>
            </w:r>
            <w:r w:rsidRPr="00B719EA">
              <w:rPr>
                <w:rFonts w:ascii="Arial" w:hAnsi="Arial" w:cs="Arial"/>
                <w:sz w:val="20"/>
                <w:szCs w:val="20"/>
              </w:rPr>
              <w:t>/</w:t>
            </w:r>
            <w:r>
              <w:rPr>
                <w:rFonts w:ascii="Arial" w:hAnsi="Arial" w:cs="Arial"/>
                <w:sz w:val="20"/>
                <w:szCs w:val="20"/>
              </w:rPr>
              <w:t>6</w:t>
            </w:r>
            <w:r w:rsidRPr="00B719EA">
              <w:rPr>
                <w:rFonts w:ascii="Arial" w:hAnsi="Arial" w:cs="Arial"/>
                <w:sz w:val="20"/>
                <w:szCs w:val="20"/>
              </w:rPr>
              <w:t>/2014</w:t>
            </w:r>
          </w:p>
        </w:tc>
        <w:tc>
          <w:tcPr>
            <w:tcW w:w="0" w:type="auto"/>
          </w:tcPr>
          <w:p w14:paraId="3F40C93F" w14:textId="7A5A456A" w:rsidR="00972362" w:rsidRPr="007E0A27" w:rsidRDefault="00972362" w:rsidP="006A7B0D">
            <w:pPr>
              <w:keepNext/>
              <w:keepLines/>
              <w:rPr>
                <w:rFonts w:ascii="Arial" w:hAnsi="Arial" w:cs="Arial"/>
                <w:sz w:val="20"/>
                <w:szCs w:val="20"/>
              </w:rPr>
            </w:pPr>
            <w:r>
              <w:rPr>
                <w:rFonts w:ascii="Arial" w:hAnsi="Arial" w:cs="Arial"/>
                <w:sz w:val="20"/>
                <w:szCs w:val="20"/>
              </w:rPr>
              <w:t>Thurs.</w:t>
            </w:r>
          </w:p>
        </w:tc>
        <w:tc>
          <w:tcPr>
            <w:tcW w:w="0" w:type="auto"/>
          </w:tcPr>
          <w:p w14:paraId="3375513A" w14:textId="5845C8B0" w:rsidR="00972362" w:rsidRPr="002A7556" w:rsidRDefault="00972362" w:rsidP="006A7B0D">
            <w:pPr>
              <w:jc w:val="center"/>
              <w:rPr>
                <w:rFonts w:ascii="Arial" w:hAnsi="Arial" w:cs="Arial"/>
                <w:sz w:val="20"/>
                <w:szCs w:val="20"/>
              </w:rPr>
            </w:pPr>
            <w:r>
              <w:rPr>
                <w:rFonts w:ascii="Arial" w:hAnsi="Arial" w:cs="Arial"/>
                <w:sz w:val="20"/>
                <w:szCs w:val="20"/>
              </w:rPr>
              <w:t>55</w:t>
            </w:r>
            <w:r w:rsidRPr="004536E0">
              <w:rPr>
                <w:rFonts w:ascii="Arial" w:hAnsi="Arial" w:cs="Arial"/>
                <w:sz w:val="20"/>
                <w:szCs w:val="20"/>
              </w:rPr>
              <w:t>.7</w:t>
            </w:r>
          </w:p>
        </w:tc>
        <w:tc>
          <w:tcPr>
            <w:tcW w:w="0" w:type="auto"/>
          </w:tcPr>
          <w:p w14:paraId="36B9E1A8" w14:textId="41311615" w:rsidR="00972362" w:rsidRPr="002A7556" w:rsidRDefault="00972362" w:rsidP="006A7B0D">
            <w:pPr>
              <w:jc w:val="center"/>
              <w:rPr>
                <w:rFonts w:ascii="Arial" w:hAnsi="Arial" w:cs="Arial"/>
                <w:sz w:val="20"/>
                <w:szCs w:val="20"/>
              </w:rPr>
            </w:pPr>
            <w:r>
              <w:rPr>
                <w:rFonts w:ascii="Arial" w:hAnsi="Arial" w:cs="Arial"/>
                <w:sz w:val="20"/>
                <w:szCs w:val="20"/>
              </w:rPr>
              <w:t>61.1</w:t>
            </w:r>
          </w:p>
        </w:tc>
        <w:tc>
          <w:tcPr>
            <w:tcW w:w="0" w:type="auto"/>
          </w:tcPr>
          <w:p w14:paraId="55A2E505" w14:textId="5A82DC05" w:rsidR="00972362" w:rsidRDefault="00972362" w:rsidP="006A7B0D">
            <w:pPr>
              <w:jc w:val="center"/>
              <w:rPr>
                <w:rFonts w:ascii="Arial" w:hAnsi="Arial" w:cs="Arial"/>
                <w:sz w:val="20"/>
                <w:szCs w:val="20"/>
              </w:rPr>
            </w:pPr>
            <w:r>
              <w:rPr>
                <w:rFonts w:ascii="Arial" w:hAnsi="Arial" w:cs="Arial"/>
                <w:sz w:val="20"/>
                <w:szCs w:val="20"/>
              </w:rPr>
              <w:t>103%</w:t>
            </w:r>
          </w:p>
        </w:tc>
      </w:tr>
      <w:tr w:rsidR="00972362" w14:paraId="1C07A153" w14:textId="6538DBBD" w:rsidTr="00972362">
        <w:trPr>
          <w:jc w:val="center"/>
        </w:trPr>
        <w:tc>
          <w:tcPr>
            <w:tcW w:w="0" w:type="auto"/>
          </w:tcPr>
          <w:p w14:paraId="39EC9654" w14:textId="544DD46A" w:rsidR="00972362" w:rsidRPr="007E0A27" w:rsidRDefault="00972362" w:rsidP="006A7B0D">
            <w:pPr>
              <w:keepNext/>
              <w:keepLines/>
              <w:jc w:val="center"/>
              <w:rPr>
                <w:rFonts w:ascii="Arial" w:hAnsi="Arial" w:cs="Arial"/>
                <w:sz w:val="20"/>
                <w:szCs w:val="20"/>
              </w:rPr>
            </w:pPr>
            <w:r w:rsidRPr="00B719EA">
              <w:rPr>
                <w:rFonts w:ascii="Arial" w:hAnsi="Arial" w:cs="Arial"/>
                <w:sz w:val="20"/>
                <w:szCs w:val="20"/>
              </w:rPr>
              <w:t>2</w:t>
            </w:r>
          </w:p>
        </w:tc>
        <w:tc>
          <w:tcPr>
            <w:tcW w:w="0" w:type="auto"/>
          </w:tcPr>
          <w:p w14:paraId="444FF480" w14:textId="6F6ADA35" w:rsidR="00972362" w:rsidRPr="00D71AD7" w:rsidRDefault="00972362" w:rsidP="006A7B0D">
            <w:pPr>
              <w:rPr>
                <w:rFonts w:ascii="Arial" w:hAnsi="Arial" w:cs="Arial"/>
                <w:color w:val="000000"/>
                <w:sz w:val="20"/>
                <w:szCs w:val="20"/>
              </w:rPr>
            </w:pPr>
            <w:r>
              <w:rPr>
                <w:rFonts w:ascii="Arial" w:hAnsi="Arial" w:cs="Arial"/>
                <w:sz w:val="20"/>
                <w:szCs w:val="20"/>
              </w:rPr>
              <w:t>4</w:t>
            </w:r>
            <w:r w:rsidRPr="00B719EA">
              <w:rPr>
                <w:rFonts w:ascii="Arial" w:hAnsi="Arial" w:cs="Arial"/>
                <w:sz w:val="20"/>
                <w:szCs w:val="20"/>
              </w:rPr>
              <w:t>/</w:t>
            </w:r>
            <w:r>
              <w:rPr>
                <w:rFonts w:ascii="Arial" w:hAnsi="Arial" w:cs="Arial"/>
                <w:sz w:val="20"/>
                <w:szCs w:val="20"/>
              </w:rPr>
              <w:t>17</w:t>
            </w:r>
            <w:r w:rsidRPr="00B719EA">
              <w:rPr>
                <w:rFonts w:ascii="Arial" w:hAnsi="Arial" w:cs="Arial"/>
                <w:sz w:val="20"/>
                <w:szCs w:val="20"/>
              </w:rPr>
              <w:t>/2014</w:t>
            </w:r>
          </w:p>
        </w:tc>
        <w:tc>
          <w:tcPr>
            <w:tcW w:w="0" w:type="auto"/>
          </w:tcPr>
          <w:p w14:paraId="4A63A020" w14:textId="0D57BF4B" w:rsidR="00972362" w:rsidRPr="007E0A27" w:rsidRDefault="00972362" w:rsidP="006A7B0D">
            <w:pPr>
              <w:keepNext/>
              <w:keepLines/>
              <w:rPr>
                <w:rFonts w:ascii="Arial" w:hAnsi="Arial" w:cs="Arial"/>
                <w:sz w:val="20"/>
                <w:szCs w:val="20"/>
              </w:rPr>
            </w:pPr>
            <w:r>
              <w:rPr>
                <w:rFonts w:ascii="Arial" w:hAnsi="Arial" w:cs="Arial"/>
                <w:sz w:val="20"/>
                <w:szCs w:val="20"/>
              </w:rPr>
              <w:t>Thurs.</w:t>
            </w:r>
          </w:p>
        </w:tc>
        <w:tc>
          <w:tcPr>
            <w:tcW w:w="0" w:type="auto"/>
          </w:tcPr>
          <w:p w14:paraId="6B02CC5B" w14:textId="1F8F4564" w:rsidR="00972362" w:rsidRPr="002A7556" w:rsidRDefault="00972362" w:rsidP="006A7B0D">
            <w:pPr>
              <w:jc w:val="center"/>
              <w:rPr>
                <w:rFonts w:ascii="Arial" w:hAnsi="Arial" w:cs="Arial"/>
                <w:sz w:val="20"/>
                <w:szCs w:val="20"/>
              </w:rPr>
            </w:pPr>
          </w:p>
        </w:tc>
        <w:tc>
          <w:tcPr>
            <w:tcW w:w="0" w:type="auto"/>
          </w:tcPr>
          <w:p w14:paraId="6566AC01" w14:textId="76225E79" w:rsidR="00972362" w:rsidRPr="002A7556" w:rsidRDefault="00972362" w:rsidP="006A7B0D">
            <w:pPr>
              <w:jc w:val="center"/>
              <w:rPr>
                <w:rFonts w:ascii="Arial" w:hAnsi="Arial" w:cs="Arial"/>
                <w:sz w:val="20"/>
                <w:szCs w:val="20"/>
              </w:rPr>
            </w:pPr>
          </w:p>
        </w:tc>
        <w:tc>
          <w:tcPr>
            <w:tcW w:w="0" w:type="auto"/>
          </w:tcPr>
          <w:p w14:paraId="5152C337" w14:textId="0F276A36" w:rsidR="00972362" w:rsidRDefault="00972362" w:rsidP="006A7B0D">
            <w:pPr>
              <w:jc w:val="center"/>
              <w:rPr>
                <w:rFonts w:ascii="Arial" w:hAnsi="Arial" w:cs="Arial"/>
                <w:sz w:val="20"/>
                <w:szCs w:val="20"/>
              </w:rPr>
            </w:pPr>
          </w:p>
        </w:tc>
      </w:tr>
      <w:tr w:rsidR="00972362" w14:paraId="63E86C0E" w14:textId="6F1801D9" w:rsidTr="00972362">
        <w:trPr>
          <w:jc w:val="center"/>
        </w:trPr>
        <w:tc>
          <w:tcPr>
            <w:tcW w:w="0" w:type="auto"/>
          </w:tcPr>
          <w:p w14:paraId="712AD3F8" w14:textId="1709CF44" w:rsidR="00972362" w:rsidRPr="007E0A27" w:rsidRDefault="00972362" w:rsidP="006A7B0D">
            <w:pPr>
              <w:keepNext/>
              <w:keepLines/>
              <w:jc w:val="center"/>
              <w:rPr>
                <w:rFonts w:ascii="Arial" w:hAnsi="Arial" w:cs="Arial"/>
                <w:sz w:val="20"/>
                <w:szCs w:val="20"/>
              </w:rPr>
            </w:pPr>
            <w:r w:rsidRPr="00B719EA">
              <w:rPr>
                <w:rFonts w:ascii="Arial" w:hAnsi="Arial" w:cs="Arial"/>
                <w:sz w:val="20"/>
                <w:szCs w:val="20"/>
              </w:rPr>
              <w:t>3</w:t>
            </w:r>
          </w:p>
        </w:tc>
        <w:tc>
          <w:tcPr>
            <w:tcW w:w="0" w:type="auto"/>
          </w:tcPr>
          <w:p w14:paraId="1312BDD1" w14:textId="45C41676" w:rsidR="00972362" w:rsidRPr="00D71AD7" w:rsidRDefault="00972362" w:rsidP="006A7B0D">
            <w:pPr>
              <w:rPr>
                <w:rFonts w:ascii="Arial" w:hAnsi="Arial" w:cs="Arial"/>
                <w:color w:val="000000"/>
                <w:sz w:val="20"/>
                <w:szCs w:val="20"/>
              </w:rPr>
            </w:pPr>
            <w:r>
              <w:rPr>
                <w:rFonts w:ascii="Arial" w:hAnsi="Arial" w:cs="Arial"/>
                <w:sz w:val="20"/>
                <w:szCs w:val="20"/>
              </w:rPr>
              <w:t>5</w:t>
            </w:r>
            <w:r w:rsidRPr="00B719EA">
              <w:rPr>
                <w:rFonts w:ascii="Arial" w:hAnsi="Arial" w:cs="Arial"/>
                <w:sz w:val="20"/>
                <w:szCs w:val="20"/>
              </w:rPr>
              <w:t>/</w:t>
            </w:r>
            <w:r>
              <w:rPr>
                <w:rFonts w:ascii="Arial" w:hAnsi="Arial" w:cs="Arial"/>
                <w:sz w:val="20"/>
                <w:szCs w:val="20"/>
              </w:rPr>
              <w:t>15</w:t>
            </w:r>
            <w:r w:rsidRPr="00B719EA">
              <w:rPr>
                <w:rFonts w:ascii="Arial" w:hAnsi="Arial" w:cs="Arial"/>
                <w:sz w:val="20"/>
                <w:szCs w:val="20"/>
              </w:rPr>
              <w:t>/2014</w:t>
            </w:r>
          </w:p>
        </w:tc>
        <w:tc>
          <w:tcPr>
            <w:tcW w:w="0" w:type="auto"/>
          </w:tcPr>
          <w:p w14:paraId="5108C3FB" w14:textId="73E490F0" w:rsidR="00972362" w:rsidRPr="007E0A27" w:rsidRDefault="00972362" w:rsidP="006A7B0D">
            <w:pPr>
              <w:keepNext/>
              <w:keepLines/>
              <w:rPr>
                <w:rFonts w:ascii="Arial" w:hAnsi="Arial" w:cs="Arial"/>
                <w:sz w:val="20"/>
                <w:szCs w:val="20"/>
              </w:rPr>
            </w:pPr>
            <w:r>
              <w:rPr>
                <w:rFonts w:ascii="Arial" w:hAnsi="Arial" w:cs="Arial"/>
                <w:sz w:val="20"/>
                <w:szCs w:val="20"/>
              </w:rPr>
              <w:t>Thurs.</w:t>
            </w:r>
          </w:p>
        </w:tc>
        <w:tc>
          <w:tcPr>
            <w:tcW w:w="0" w:type="auto"/>
          </w:tcPr>
          <w:p w14:paraId="585351D8" w14:textId="2CA9E8AE" w:rsidR="00972362" w:rsidRPr="002A7556" w:rsidRDefault="00972362" w:rsidP="006A7B0D">
            <w:pPr>
              <w:jc w:val="center"/>
              <w:rPr>
                <w:rFonts w:ascii="Arial" w:hAnsi="Arial" w:cs="Arial"/>
                <w:sz w:val="20"/>
                <w:szCs w:val="20"/>
              </w:rPr>
            </w:pPr>
          </w:p>
        </w:tc>
        <w:tc>
          <w:tcPr>
            <w:tcW w:w="0" w:type="auto"/>
          </w:tcPr>
          <w:p w14:paraId="0F77A742" w14:textId="1909EBDB" w:rsidR="00972362" w:rsidRPr="002A7556" w:rsidRDefault="00972362" w:rsidP="006A7B0D">
            <w:pPr>
              <w:jc w:val="center"/>
              <w:rPr>
                <w:rFonts w:ascii="Arial" w:hAnsi="Arial" w:cs="Arial"/>
                <w:sz w:val="20"/>
                <w:szCs w:val="20"/>
              </w:rPr>
            </w:pPr>
          </w:p>
        </w:tc>
        <w:tc>
          <w:tcPr>
            <w:tcW w:w="0" w:type="auto"/>
          </w:tcPr>
          <w:p w14:paraId="070BDF1E" w14:textId="5665C380" w:rsidR="00972362" w:rsidRDefault="00972362" w:rsidP="006A7B0D">
            <w:pPr>
              <w:jc w:val="center"/>
              <w:rPr>
                <w:rFonts w:ascii="Arial" w:hAnsi="Arial" w:cs="Arial"/>
                <w:sz w:val="20"/>
                <w:szCs w:val="20"/>
              </w:rPr>
            </w:pPr>
          </w:p>
        </w:tc>
      </w:tr>
      <w:tr w:rsidR="00972362" w14:paraId="2CD48C11" w14:textId="6D7B29FC" w:rsidTr="00972362">
        <w:trPr>
          <w:jc w:val="center"/>
        </w:trPr>
        <w:tc>
          <w:tcPr>
            <w:tcW w:w="0" w:type="auto"/>
          </w:tcPr>
          <w:p w14:paraId="4A3DCCA8" w14:textId="0B4A98B6" w:rsidR="00972362" w:rsidRDefault="00972362" w:rsidP="006A7B0D">
            <w:pPr>
              <w:keepNext/>
              <w:keepLines/>
              <w:jc w:val="center"/>
              <w:rPr>
                <w:rFonts w:ascii="Arial" w:hAnsi="Arial" w:cs="Arial"/>
                <w:sz w:val="20"/>
                <w:szCs w:val="20"/>
              </w:rPr>
            </w:pPr>
            <w:r w:rsidRPr="00B719EA">
              <w:rPr>
                <w:rFonts w:ascii="Arial" w:hAnsi="Arial" w:cs="Arial"/>
                <w:sz w:val="20"/>
                <w:szCs w:val="20"/>
              </w:rPr>
              <w:t>4</w:t>
            </w:r>
          </w:p>
        </w:tc>
        <w:tc>
          <w:tcPr>
            <w:tcW w:w="0" w:type="auto"/>
          </w:tcPr>
          <w:p w14:paraId="3FE1389A" w14:textId="6D155BEB" w:rsidR="00972362" w:rsidRPr="00D71AD7" w:rsidRDefault="00972362" w:rsidP="006A7B0D">
            <w:pPr>
              <w:rPr>
                <w:rFonts w:ascii="Arial" w:hAnsi="Arial" w:cs="Arial"/>
                <w:color w:val="000000"/>
                <w:sz w:val="20"/>
                <w:szCs w:val="20"/>
              </w:rPr>
            </w:pPr>
            <w:r>
              <w:rPr>
                <w:rFonts w:ascii="Arial" w:hAnsi="Arial" w:cs="Arial"/>
                <w:sz w:val="20"/>
                <w:szCs w:val="20"/>
              </w:rPr>
              <w:t>9</w:t>
            </w:r>
            <w:r w:rsidRPr="00B719EA">
              <w:rPr>
                <w:rFonts w:ascii="Arial" w:hAnsi="Arial" w:cs="Arial"/>
                <w:sz w:val="20"/>
                <w:szCs w:val="20"/>
              </w:rPr>
              <w:t>/1</w:t>
            </w:r>
            <w:r>
              <w:rPr>
                <w:rFonts w:ascii="Arial" w:hAnsi="Arial" w:cs="Arial"/>
                <w:sz w:val="20"/>
                <w:szCs w:val="20"/>
              </w:rPr>
              <w:t>1</w:t>
            </w:r>
            <w:r w:rsidRPr="00B719EA">
              <w:rPr>
                <w:rFonts w:ascii="Arial" w:hAnsi="Arial" w:cs="Arial"/>
                <w:sz w:val="20"/>
                <w:szCs w:val="20"/>
              </w:rPr>
              <w:t>/2014</w:t>
            </w:r>
          </w:p>
        </w:tc>
        <w:tc>
          <w:tcPr>
            <w:tcW w:w="0" w:type="auto"/>
          </w:tcPr>
          <w:p w14:paraId="3E45312E" w14:textId="701545FB" w:rsidR="00972362" w:rsidRDefault="00972362" w:rsidP="006A7B0D">
            <w:pPr>
              <w:keepNext/>
              <w:keepLines/>
              <w:rPr>
                <w:rFonts w:ascii="Arial" w:hAnsi="Arial" w:cs="Arial"/>
                <w:sz w:val="20"/>
                <w:szCs w:val="20"/>
              </w:rPr>
            </w:pPr>
            <w:r>
              <w:rPr>
                <w:rFonts w:ascii="Arial" w:hAnsi="Arial" w:cs="Arial"/>
                <w:sz w:val="20"/>
                <w:szCs w:val="20"/>
              </w:rPr>
              <w:t>Thurs.</w:t>
            </w:r>
          </w:p>
        </w:tc>
        <w:tc>
          <w:tcPr>
            <w:tcW w:w="0" w:type="auto"/>
          </w:tcPr>
          <w:p w14:paraId="7F7C8541" w14:textId="4160FF5B" w:rsidR="00972362" w:rsidRPr="002A7556" w:rsidRDefault="00972362" w:rsidP="006A7B0D">
            <w:pPr>
              <w:jc w:val="center"/>
              <w:rPr>
                <w:rFonts w:ascii="Arial" w:hAnsi="Arial" w:cs="Arial"/>
                <w:sz w:val="20"/>
                <w:szCs w:val="20"/>
              </w:rPr>
            </w:pPr>
            <w:r w:rsidRPr="004536E0">
              <w:rPr>
                <w:rFonts w:ascii="Arial" w:hAnsi="Arial" w:cs="Arial"/>
                <w:sz w:val="20"/>
                <w:szCs w:val="20"/>
              </w:rPr>
              <w:t>57.6</w:t>
            </w:r>
          </w:p>
        </w:tc>
        <w:tc>
          <w:tcPr>
            <w:tcW w:w="0" w:type="auto"/>
          </w:tcPr>
          <w:p w14:paraId="6710FCC1" w14:textId="5F938087" w:rsidR="00972362" w:rsidRPr="002A7556" w:rsidRDefault="00972362" w:rsidP="006A7B0D">
            <w:pPr>
              <w:jc w:val="center"/>
              <w:rPr>
                <w:rFonts w:ascii="Arial" w:hAnsi="Arial" w:cs="Arial"/>
                <w:sz w:val="20"/>
                <w:szCs w:val="20"/>
              </w:rPr>
            </w:pPr>
            <w:r>
              <w:rPr>
                <w:rFonts w:ascii="Arial" w:hAnsi="Arial" w:cs="Arial"/>
                <w:sz w:val="20"/>
                <w:szCs w:val="20"/>
              </w:rPr>
              <w:t>61.8</w:t>
            </w:r>
          </w:p>
        </w:tc>
        <w:tc>
          <w:tcPr>
            <w:tcW w:w="0" w:type="auto"/>
          </w:tcPr>
          <w:p w14:paraId="29068935" w14:textId="0F3EB43C" w:rsidR="00972362" w:rsidRDefault="00972362" w:rsidP="006A7B0D">
            <w:pPr>
              <w:jc w:val="center"/>
              <w:rPr>
                <w:rFonts w:ascii="Arial" w:hAnsi="Arial" w:cs="Arial"/>
                <w:sz w:val="20"/>
                <w:szCs w:val="20"/>
              </w:rPr>
            </w:pPr>
            <w:r>
              <w:rPr>
                <w:rFonts w:ascii="Arial" w:hAnsi="Arial" w:cs="Arial"/>
                <w:sz w:val="20"/>
                <w:szCs w:val="20"/>
              </w:rPr>
              <w:t>102%</w:t>
            </w:r>
          </w:p>
        </w:tc>
      </w:tr>
    </w:tbl>
    <w:p w14:paraId="68FBFE4D" w14:textId="77777777" w:rsidR="00EF7726" w:rsidRDefault="00EF7726" w:rsidP="00146E50"/>
    <w:p w14:paraId="2657CE3B" w14:textId="10556C03" w:rsidR="00321E09" w:rsidRDefault="00321E09" w:rsidP="00146E50">
      <w:r>
        <w:t>Table 4.</w:t>
      </w:r>
      <w:r w:rsidR="00F02657">
        <w:t>3</w:t>
      </w:r>
      <w:r>
        <w:t xml:space="preserve"> summarizes average hourly B</w:t>
      </w:r>
      <w:r w:rsidR="00972362">
        <w:t>I</w:t>
      </w:r>
      <w:r>
        <w:t xml:space="preserve">P load impacts by industry group for </w:t>
      </w:r>
      <w:r w:rsidR="00972362">
        <w:t>the September 11</w:t>
      </w:r>
      <w:r w:rsidR="00972362" w:rsidRPr="00972362">
        <w:rPr>
          <w:vertAlign w:val="superscript"/>
        </w:rPr>
        <w:t>th</w:t>
      </w:r>
      <w:r w:rsidR="00972362">
        <w:t xml:space="preserve"> </w:t>
      </w:r>
      <w:r>
        <w:t>event</w:t>
      </w:r>
      <w:r w:rsidR="00F02657">
        <w:t xml:space="preserve"> day</w:t>
      </w:r>
      <w:r>
        <w:t>.</w:t>
      </w:r>
      <w:r w:rsidR="001C090F">
        <w:t xml:space="preserve"> This date was selected because it is a full-program event (in contrast to the April and May events) that occurred in the summer season, which is more typical of when one would expect BIP events to occur.</w:t>
      </w:r>
      <w:r w:rsidR="00C40C8D">
        <w:t xml:space="preserve"> </w:t>
      </w:r>
      <w:r w:rsidRPr="00CF11D1">
        <w:t>The Manufacturing industry group accounted for the largest share of the load impacts</w:t>
      </w:r>
      <w:r w:rsidR="0092092B">
        <w:t xml:space="preserve">, with a </w:t>
      </w:r>
      <w:r w:rsidR="00972362">
        <w:t>144</w:t>
      </w:r>
      <w:r w:rsidR="0092092B">
        <w:t xml:space="preserve"> MW average event-hour load reduction</w:t>
      </w:r>
      <w:r w:rsidRPr="00CF11D1">
        <w:t>.</w:t>
      </w:r>
      <w:r w:rsidR="00A94317">
        <w:t xml:space="preserve"> Note that portions of the table have been removed due to confidentiality concerns.</w:t>
      </w:r>
      <w:r>
        <w:t xml:space="preserve">  </w:t>
      </w:r>
    </w:p>
    <w:p w14:paraId="118F6363" w14:textId="77777777" w:rsidR="00321E09" w:rsidRDefault="00321E09" w:rsidP="00082E39"/>
    <w:p w14:paraId="44E4780C" w14:textId="366038BF" w:rsidR="00321E09" w:rsidRPr="00852320" w:rsidRDefault="00321E09" w:rsidP="004F6FF9">
      <w:pPr>
        <w:pStyle w:val="TableCaption"/>
        <w:keepNext/>
        <w:keepLines/>
        <w:rPr>
          <w:i/>
        </w:rPr>
      </w:pPr>
      <w:bookmarkStart w:id="66" w:name="_Toc415489010"/>
      <w:r w:rsidRPr="00852320">
        <w:t>Table 4.</w:t>
      </w:r>
      <w:r w:rsidR="00F02657" w:rsidRPr="00852320">
        <w:t>3</w:t>
      </w:r>
      <w:r w:rsidRPr="00852320">
        <w:t xml:space="preserve">: </w:t>
      </w:r>
      <w:r w:rsidR="00972362">
        <w:t xml:space="preserve">September 11, 2014 </w:t>
      </w:r>
      <w:r w:rsidRPr="00852320">
        <w:t>Load Impacts</w:t>
      </w:r>
      <w:r w:rsidR="00972362">
        <w:t xml:space="preserve"> – PG&amp;E BI</w:t>
      </w:r>
      <w:r w:rsidRPr="00852320">
        <w:t xml:space="preserve">P, </w:t>
      </w:r>
      <w:r w:rsidRPr="00852320">
        <w:rPr>
          <w:i/>
        </w:rPr>
        <w:t>by Industry Group</w:t>
      </w:r>
      <w:bookmarkEnd w:id="6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5"/>
        <w:gridCol w:w="1595"/>
        <w:gridCol w:w="1580"/>
        <w:gridCol w:w="1343"/>
        <w:gridCol w:w="1509"/>
        <w:gridCol w:w="784"/>
      </w:tblGrid>
      <w:tr w:rsidR="00321E09" w14:paraId="7EF5EE49" w14:textId="77777777" w:rsidTr="0005199B">
        <w:trPr>
          <w:jc w:val="center"/>
        </w:trPr>
        <w:tc>
          <w:tcPr>
            <w:tcW w:w="0" w:type="auto"/>
            <w:shd w:val="clear" w:color="auto" w:fill="D9E2F3"/>
            <w:vAlign w:val="center"/>
          </w:tcPr>
          <w:p w14:paraId="0BDE4F36"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Industry Group</w:t>
            </w:r>
          </w:p>
        </w:tc>
        <w:tc>
          <w:tcPr>
            <w:tcW w:w="0" w:type="auto"/>
            <w:shd w:val="clear" w:color="auto" w:fill="D9E2F3"/>
            <w:vAlign w:val="center"/>
          </w:tcPr>
          <w:p w14:paraId="6A917ED7" w14:textId="563C50D5" w:rsidR="00321E09" w:rsidRPr="007E0A27" w:rsidRDefault="002F29FA" w:rsidP="00383F6F">
            <w:pPr>
              <w:keepNext/>
              <w:keepLines/>
              <w:jc w:val="center"/>
              <w:rPr>
                <w:rFonts w:ascii="Arial" w:hAnsi="Arial" w:cs="Arial"/>
                <w:b/>
                <w:sz w:val="20"/>
                <w:szCs w:val="20"/>
              </w:rPr>
            </w:pPr>
            <w:r>
              <w:rPr>
                <w:rFonts w:ascii="Arial" w:hAnsi="Arial" w:cs="Arial"/>
                <w:b/>
                <w:sz w:val="20"/>
                <w:szCs w:val="20"/>
              </w:rPr>
              <w:t># of Service A</w:t>
            </w:r>
            <w:r w:rsidR="00383F6F">
              <w:rPr>
                <w:rFonts w:ascii="Arial" w:hAnsi="Arial" w:cs="Arial"/>
                <w:b/>
                <w:sz w:val="20"/>
                <w:szCs w:val="20"/>
              </w:rPr>
              <w:t>greeme</w:t>
            </w:r>
            <w:r>
              <w:rPr>
                <w:rFonts w:ascii="Arial" w:hAnsi="Arial" w:cs="Arial"/>
                <w:b/>
                <w:sz w:val="20"/>
                <w:szCs w:val="20"/>
              </w:rPr>
              <w:t>nts</w:t>
            </w:r>
          </w:p>
        </w:tc>
        <w:tc>
          <w:tcPr>
            <w:tcW w:w="0" w:type="auto"/>
            <w:shd w:val="clear" w:color="auto" w:fill="D9E2F3"/>
            <w:vAlign w:val="center"/>
          </w:tcPr>
          <w:p w14:paraId="6ABBEF18"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0" w:type="auto"/>
            <w:shd w:val="clear" w:color="auto" w:fill="D9E2F3"/>
            <w:vAlign w:val="center"/>
          </w:tcPr>
          <w:p w14:paraId="46D068A0"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Observed Load (MW)</w:t>
            </w:r>
          </w:p>
        </w:tc>
        <w:tc>
          <w:tcPr>
            <w:tcW w:w="0" w:type="auto"/>
            <w:shd w:val="clear" w:color="auto" w:fill="D9E2F3"/>
            <w:vAlign w:val="center"/>
          </w:tcPr>
          <w:p w14:paraId="444A9419"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Estimated Load Impact (MW)</w:t>
            </w:r>
          </w:p>
        </w:tc>
        <w:tc>
          <w:tcPr>
            <w:tcW w:w="0" w:type="auto"/>
            <w:shd w:val="clear" w:color="auto" w:fill="D9E2F3"/>
            <w:vAlign w:val="center"/>
          </w:tcPr>
          <w:p w14:paraId="7C2051FA" w14:textId="77777777" w:rsidR="00321E09" w:rsidRPr="007E0A27" w:rsidRDefault="00321E09" w:rsidP="00F02657">
            <w:pPr>
              <w:keepNext/>
              <w:keepLines/>
              <w:jc w:val="center"/>
              <w:rPr>
                <w:rFonts w:ascii="Arial" w:hAnsi="Arial" w:cs="Arial"/>
                <w:b/>
                <w:sz w:val="20"/>
                <w:szCs w:val="20"/>
              </w:rPr>
            </w:pPr>
            <w:r w:rsidRPr="007E0A27">
              <w:rPr>
                <w:rFonts w:ascii="Arial" w:hAnsi="Arial" w:cs="Arial"/>
                <w:b/>
                <w:sz w:val="20"/>
                <w:szCs w:val="20"/>
              </w:rPr>
              <w:t>% LI</w:t>
            </w:r>
          </w:p>
        </w:tc>
      </w:tr>
      <w:tr w:rsidR="006A7B0D" w14:paraId="12438946" w14:textId="77777777" w:rsidTr="006A7B0D">
        <w:trPr>
          <w:jc w:val="center"/>
        </w:trPr>
        <w:tc>
          <w:tcPr>
            <w:tcW w:w="0" w:type="auto"/>
            <w:vAlign w:val="center"/>
          </w:tcPr>
          <w:p w14:paraId="3BC35A22" w14:textId="77777777" w:rsidR="006A7B0D" w:rsidRPr="007E0A27" w:rsidRDefault="006A7B0D" w:rsidP="006A7B0D">
            <w:pPr>
              <w:keepNext/>
              <w:keepLines/>
              <w:rPr>
                <w:rFonts w:ascii="Arial" w:hAnsi="Arial" w:cs="Arial"/>
                <w:sz w:val="20"/>
                <w:szCs w:val="20"/>
              </w:rPr>
            </w:pPr>
            <w:r w:rsidRPr="007E0A27">
              <w:rPr>
                <w:rFonts w:ascii="Arial" w:hAnsi="Arial" w:cs="Arial"/>
                <w:sz w:val="20"/>
                <w:szCs w:val="20"/>
              </w:rPr>
              <w:t>Agriculture, Mining, &amp; Construction</w:t>
            </w:r>
          </w:p>
        </w:tc>
        <w:tc>
          <w:tcPr>
            <w:tcW w:w="0" w:type="auto"/>
            <w:vAlign w:val="center"/>
          </w:tcPr>
          <w:p w14:paraId="5065AEAE" w14:textId="2C0B2467" w:rsidR="006A7B0D" w:rsidRPr="006A7B0D" w:rsidRDefault="006A7B0D" w:rsidP="006A7B0D">
            <w:pPr>
              <w:jc w:val="right"/>
              <w:rPr>
                <w:rFonts w:ascii="Arial" w:hAnsi="Arial" w:cs="Arial"/>
                <w:sz w:val="20"/>
                <w:szCs w:val="20"/>
              </w:rPr>
            </w:pPr>
            <w:r w:rsidRPr="006A7B0D">
              <w:rPr>
                <w:rFonts w:ascii="Arial" w:hAnsi="Arial" w:cs="Arial"/>
                <w:sz w:val="20"/>
                <w:szCs w:val="20"/>
              </w:rPr>
              <w:t>41</w:t>
            </w:r>
          </w:p>
        </w:tc>
        <w:tc>
          <w:tcPr>
            <w:tcW w:w="0" w:type="auto"/>
            <w:vAlign w:val="center"/>
          </w:tcPr>
          <w:p w14:paraId="67EB2B5D" w14:textId="4F36594A" w:rsidR="006A7B0D" w:rsidRPr="006A7B0D" w:rsidRDefault="006A7B0D" w:rsidP="006A7B0D">
            <w:pPr>
              <w:jc w:val="right"/>
              <w:rPr>
                <w:rFonts w:ascii="Arial" w:hAnsi="Arial" w:cs="Arial"/>
                <w:sz w:val="20"/>
                <w:szCs w:val="20"/>
              </w:rPr>
            </w:pPr>
            <w:r w:rsidRPr="006A7B0D">
              <w:rPr>
                <w:rFonts w:ascii="Arial" w:hAnsi="Arial" w:cs="Arial"/>
                <w:sz w:val="20"/>
                <w:szCs w:val="20"/>
              </w:rPr>
              <w:t>45.9</w:t>
            </w:r>
          </w:p>
        </w:tc>
        <w:tc>
          <w:tcPr>
            <w:tcW w:w="0" w:type="auto"/>
            <w:vAlign w:val="center"/>
          </w:tcPr>
          <w:p w14:paraId="43EB8D0A" w14:textId="3988141F" w:rsidR="006A7B0D" w:rsidRPr="006A7B0D" w:rsidRDefault="006A7B0D" w:rsidP="006A7B0D">
            <w:pPr>
              <w:jc w:val="right"/>
              <w:rPr>
                <w:rFonts w:ascii="Arial" w:hAnsi="Arial" w:cs="Arial"/>
                <w:sz w:val="20"/>
                <w:szCs w:val="20"/>
              </w:rPr>
            </w:pPr>
            <w:r w:rsidRPr="006A7B0D">
              <w:rPr>
                <w:rFonts w:ascii="Arial" w:hAnsi="Arial" w:cs="Arial"/>
                <w:sz w:val="20"/>
                <w:szCs w:val="20"/>
              </w:rPr>
              <w:t>15.4</w:t>
            </w:r>
          </w:p>
        </w:tc>
        <w:tc>
          <w:tcPr>
            <w:tcW w:w="0" w:type="auto"/>
            <w:vAlign w:val="center"/>
          </w:tcPr>
          <w:p w14:paraId="3E8E94F2" w14:textId="1546AC20" w:rsidR="006A7B0D" w:rsidRPr="006A7B0D" w:rsidRDefault="006A7B0D" w:rsidP="006A7B0D">
            <w:pPr>
              <w:jc w:val="right"/>
              <w:rPr>
                <w:rFonts w:ascii="Arial" w:hAnsi="Arial" w:cs="Arial"/>
                <w:sz w:val="20"/>
                <w:szCs w:val="20"/>
              </w:rPr>
            </w:pPr>
            <w:r w:rsidRPr="006A7B0D">
              <w:rPr>
                <w:rFonts w:ascii="Arial" w:hAnsi="Arial" w:cs="Arial"/>
                <w:sz w:val="20"/>
                <w:szCs w:val="20"/>
              </w:rPr>
              <w:t>30.6</w:t>
            </w:r>
          </w:p>
        </w:tc>
        <w:tc>
          <w:tcPr>
            <w:tcW w:w="0" w:type="auto"/>
            <w:vAlign w:val="center"/>
          </w:tcPr>
          <w:p w14:paraId="7EF4D95C" w14:textId="3E3AAC11" w:rsidR="006A7B0D" w:rsidRPr="006A7B0D" w:rsidRDefault="006A7B0D" w:rsidP="006A7B0D">
            <w:pPr>
              <w:jc w:val="right"/>
              <w:rPr>
                <w:rFonts w:ascii="Arial" w:hAnsi="Arial" w:cs="Arial"/>
                <w:sz w:val="20"/>
                <w:szCs w:val="20"/>
              </w:rPr>
            </w:pPr>
            <w:r w:rsidRPr="006A7B0D">
              <w:rPr>
                <w:rFonts w:ascii="Arial" w:hAnsi="Arial" w:cs="Arial"/>
                <w:sz w:val="20"/>
                <w:szCs w:val="20"/>
              </w:rPr>
              <w:t>66.5%</w:t>
            </w:r>
          </w:p>
        </w:tc>
      </w:tr>
      <w:tr w:rsidR="006A7B0D" w14:paraId="0D258DC2" w14:textId="77777777" w:rsidTr="006A7B0D">
        <w:trPr>
          <w:jc w:val="center"/>
        </w:trPr>
        <w:tc>
          <w:tcPr>
            <w:tcW w:w="0" w:type="auto"/>
            <w:vAlign w:val="center"/>
          </w:tcPr>
          <w:p w14:paraId="43F5F6CE" w14:textId="77777777" w:rsidR="006A7B0D" w:rsidRPr="007E0A27" w:rsidRDefault="006A7B0D" w:rsidP="006A7B0D">
            <w:pPr>
              <w:keepNext/>
              <w:keepLines/>
              <w:rPr>
                <w:rFonts w:ascii="Arial" w:hAnsi="Arial" w:cs="Arial"/>
                <w:sz w:val="20"/>
                <w:szCs w:val="20"/>
              </w:rPr>
            </w:pPr>
            <w:r w:rsidRPr="007E0A27">
              <w:rPr>
                <w:rFonts w:ascii="Arial" w:hAnsi="Arial" w:cs="Arial"/>
                <w:sz w:val="20"/>
                <w:szCs w:val="20"/>
              </w:rPr>
              <w:t>Manufacturing</w:t>
            </w:r>
          </w:p>
        </w:tc>
        <w:tc>
          <w:tcPr>
            <w:tcW w:w="0" w:type="auto"/>
            <w:vAlign w:val="center"/>
          </w:tcPr>
          <w:p w14:paraId="4E0A1567" w14:textId="396F09C8" w:rsidR="006A7B0D" w:rsidRPr="006A7B0D" w:rsidRDefault="006A7B0D" w:rsidP="006A7B0D">
            <w:pPr>
              <w:jc w:val="right"/>
              <w:rPr>
                <w:rFonts w:ascii="Arial" w:hAnsi="Arial" w:cs="Arial"/>
                <w:sz w:val="20"/>
                <w:szCs w:val="20"/>
              </w:rPr>
            </w:pPr>
            <w:r w:rsidRPr="006A7B0D">
              <w:rPr>
                <w:rFonts w:ascii="Arial" w:hAnsi="Arial" w:cs="Arial"/>
                <w:sz w:val="20"/>
                <w:szCs w:val="20"/>
              </w:rPr>
              <w:t>85</w:t>
            </w:r>
          </w:p>
        </w:tc>
        <w:tc>
          <w:tcPr>
            <w:tcW w:w="0" w:type="auto"/>
            <w:vAlign w:val="center"/>
          </w:tcPr>
          <w:p w14:paraId="73E3DEB7" w14:textId="1CDE3E1F" w:rsidR="006A7B0D" w:rsidRPr="006A7B0D" w:rsidRDefault="006A7B0D" w:rsidP="006A7B0D">
            <w:pPr>
              <w:jc w:val="right"/>
              <w:rPr>
                <w:rFonts w:ascii="Arial" w:hAnsi="Arial" w:cs="Arial"/>
                <w:sz w:val="20"/>
                <w:szCs w:val="20"/>
              </w:rPr>
            </w:pPr>
            <w:r w:rsidRPr="006A7B0D">
              <w:rPr>
                <w:rFonts w:ascii="Arial" w:hAnsi="Arial" w:cs="Arial"/>
                <w:sz w:val="20"/>
                <w:szCs w:val="20"/>
              </w:rPr>
              <w:t>161.7</w:t>
            </w:r>
          </w:p>
        </w:tc>
        <w:tc>
          <w:tcPr>
            <w:tcW w:w="0" w:type="auto"/>
            <w:vAlign w:val="center"/>
          </w:tcPr>
          <w:p w14:paraId="07E40B91" w14:textId="07F81A3A" w:rsidR="006A7B0D" w:rsidRPr="006A7B0D" w:rsidRDefault="006A7B0D" w:rsidP="006A7B0D">
            <w:pPr>
              <w:jc w:val="right"/>
              <w:rPr>
                <w:rFonts w:ascii="Arial" w:hAnsi="Arial" w:cs="Arial"/>
                <w:sz w:val="20"/>
                <w:szCs w:val="20"/>
              </w:rPr>
            </w:pPr>
            <w:r w:rsidRPr="006A7B0D">
              <w:rPr>
                <w:rFonts w:ascii="Arial" w:hAnsi="Arial" w:cs="Arial"/>
                <w:sz w:val="20"/>
                <w:szCs w:val="20"/>
              </w:rPr>
              <w:t>17.3</w:t>
            </w:r>
          </w:p>
        </w:tc>
        <w:tc>
          <w:tcPr>
            <w:tcW w:w="0" w:type="auto"/>
            <w:vAlign w:val="center"/>
          </w:tcPr>
          <w:p w14:paraId="529C8188" w14:textId="71E5C8B8" w:rsidR="006A7B0D" w:rsidRPr="006A7B0D" w:rsidRDefault="006A7B0D" w:rsidP="006A7B0D">
            <w:pPr>
              <w:jc w:val="right"/>
              <w:rPr>
                <w:rFonts w:ascii="Arial" w:hAnsi="Arial" w:cs="Arial"/>
                <w:sz w:val="20"/>
                <w:szCs w:val="20"/>
              </w:rPr>
            </w:pPr>
            <w:r w:rsidRPr="006A7B0D">
              <w:rPr>
                <w:rFonts w:ascii="Arial" w:hAnsi="Arial" w:cs="Arial"/>
                <w:sz w:val="20"/>
                <w:szCs w:val="20"/>
              </w:rPr>
              <w:t>144.3</w:t>
            </w:r>
          </w:p>
        </w:tc>
        <w:tc>
          <w:tcPr>
            <w:tcW w:w="0" w:type="auto"/>
            <w:vAlign w:val="center"/>
          </w:tcPr>
          <w:p w14:paraId="59221FA9" w14:textId="45B92F40" w:rsidR="006A7B0D" w:rsidRPr="006A7B0D" w:rsidRDefault="006A7B0D" w:rsidP="006A7B0D">
            <w:pPr>
              <w:jc w:val="right"/>
              <w:rPr>
                <w:rFonts w:ascii="Arial" w:hAnsi="Arial" w:cs="Arial"/>
                <w:sz w:val="20"/>
                <w:szCs w:val="20"/>
              </w:rPr>
            </w:pPr>
            <w:r w:rsidRPr="006A7B0D">
              <w:rPr>
                <w:rFonts w:ascii="Arial" w:hAnsi="Arial" w:cs="Arial"/>
                <w:sz w:val="20"/>
                <w:szCs w:val="20"/>
              </w:rPr>
              <w:t>89.3%</w:t>
            </w:r>
          </w:p>
        </w:tc>
      </w:tr>
      <w:tr w:rsidR="006A7B0D" w14:paraId="45B2319A" w14:textId="77777777" w:rsidTr="006A7B0D">
        <w:trPr>
          <w:jc w:val="center"/>
        </w:trPr>
        <w:tc>
          <w:tcPr>
            <w:tcW w:w="0" w:type="auto"/>
            <w:vAlign w:val="center"/>
          </w:tcPr>
          <w:p w14:paraId="74BC0C83" w14:textId="77777777" w:rsidR="006A7B0D" w:rsidRPr="007E0A27" w:rsidRDefault="006A7B0D" w:rsidP="006A7B0D">
            <w:pPr>
              <w:keepNext/>
              <w:keepLines/>
              <w:rPr>
                <w:rFonts w:ascii="Arial" w:hAnsi="Arial" w:cs="Arial"/>
                <w:sz w:val="20"/>
                <w:szCs w:val="20"/>
              </w:rPr>
            </w:pPr>
            <w:r w:rsidRPr="007E0A27">
              <w:rPr>
                <w:rFonts w:ascii="Arial" w:hAnsi="Arial" w:cs="Arial"/>
                <w:sz w:val="20"/>
                <w:szCs w:val="20"/>
              </w:rPr>
              <w:t>Wholesale, Transportation, &amp; Other Utilities</w:t>
            </w:r>
          </w:p>
        </w:tc>
        <w:tc>
          <w:tcPr>
            <w:tcW w:w="0" w:type="auto"/>
            <w:vAlign w:val="center"/>
          </w:tcPr>
          <w:p w14:paraId="6D38F0E7" w14:textId="4B617732" w:rsidR="006A7B0D" w:rsidRPr="006A7B0D" w:rsidRDefault="006A7B0D" w:rsidP="006A7B0D">
            <w:pPr>
              <w:jc w:val="right"/>
              <w:rPr>
                <w:rFonts w:ascii="Arial" w:hAnsi="Arial" w:cs="Arial"/>
                <w:sz w:val="20"/>
                <w:szCs w:val="20"/>
              </w:rPr>
            </w:pPr>
            <w:r w:rsidRPr="006A7B0D">
              <w:rPr>
                <w:rFonts w:ascii="Arial" w:hAnsi="Arial" w:cs="Arial"/>
                <w:sz w:val="20"/>
                <w:szCs w:val="20"/>
              </w:rPr>
              <w:t>52</w:t>
            </w:r>
          </w:p>
        </w:tc>
        <w:tc>
          <w:tcPr>
            <w:tcW w:w="0" w:type="auto"/>
            <w:vAlign w:val="center"/>
          </w:tcPr>
          <w:p w14:paraId="3C7EBCBD" w14:textId="6330270D" w:rsidR="006A7B0D" w:rsidRPr="006A7B0D" w:rsidRDefault="006A7B0D" w:rsidP="006A7B0D">
            <w:pPr>
              <w:jc w:val="right"/>
              <w:rPr>
                <w:rFonts w:ascii="Arial" w:hAnsi="Arial" w:cs="Arial"/>
                <w:sz w:val="20"/>
                <w:szCs w:val="20"/>
              </w:rPr>
            </w:pPr>
            <w:r w:rsidRPr="006A7B0D">
              <w:rPr>
                <w:rFonts w:ascii="Arial" w:hAnsi="Arial" w:cs="Arial"/>
                <w:sz w:val="20"/>
                <w:szCs w:val="20"/>
              </w:rPr>
              <w:t>40.2</w:t>
            </w:r>
          </w:p>
        </w:tc>
        <w:tc>
          <w:tcPr>
            <w:tcW w:w="0" w:type="auto"/>
            <w:vAlign w:val="center"/>
          </w:tcPr>
          <w:p w14:paraId="651B6B03" w14:textId="2C1E760D" w:rsidR="006A7B0D" w:rsidRPr="006A7B0D" w:rsidRDefault="006A7B0D" w:rsidP="006A7B0D">
            <w:pPr>
              <w:jc w:val="right"/>
              <w:rPr>
                <w:rFonts w:ascii="Arial" w:hAnsi="Arial" w:cs="Arial"/>
                <w:sz w:val="20"/>
                <w:szCs w:val="20"/>
              </w:rPr>
            </w:pPr>
            <w:r w:rsidRPr="006A7B0D">
              <w:rPr>
                <w:rFonts w:ascii="Arial" w:hAnsi="Arial" w:cs="Arial"/>
                <w:sz w:val="20"/>
                <w:szCs w:val="20"/>
              </w:rPr>
              <w:t>11.3</w:t>
            </w:r>
          </w:p>
        </w:tc>
        <w:tc>
          <w:tcPr>
            <w:tcW w:w="0" w:type="auto"/>
            <w:vAlign w:val="center"/>
          </w:tcPr>
          <w:p w14:paraId="67E52F73" w14:textId="48F094BB" w:rsidR="006A7B0D" w:rsidRPr="006A7B0D" w:rsidRDefault="006A7B0D" w:rsidP="006A7B0D">
            <w:pPr>
              <w:jc w:val="right"/>
              <w:rPr>
                <w:rFonts w:ascii="Arial" w:hAnsi="Arial" w:cs="Arial"/>
                <w:sz w:val="20"/>
                <w:szCs w:val="20"/>
              </w:rPr>
            </w:pPr>
            <w:r w:rsidRPr="006A7B0D">
              <w:rPr>
                <w:rFonts w:ascii="Arial" w:hAnsi="Arial" w:cs="Arial"/>
                <w:sz w:val="20"/>
                <w:szCs w:val="20"/>
              </w:rPr>
              <w:t>28.9</w:t>
            </w:r>
          </w:p>
        </w:tc>
        <w:tc>
          <w:tcPr>
            <w:tcW w:w="0" w:type="auto"/>
            <w:vAlign w:val="center"/>
          </w:tcPr>
          <w:p w14:paraId="5E5A350E" w14:textId="592BAA41" w:rsidR="006A7B0D" w:rsidRPr="006A7B0D" w:rsidRDefault="006A7B0D" w:rsidP="006A7B0D">
            <w:pPr>
              <w:jc w:val="right"/>
              <w:rPr>
                <w:rFonts w:ascii="Arial" w:hAnsi="Arial" w:cs="Arial"/>
                <w:sz w:val="20"/>
                <w:szCs w:val="20"/>
              </w:rPr>
            </w:pPr>
            <w:r w:rsidRPr="006A7B0D">
              <w:rPr>
                <w:rFonts w:ascii="Arial" w:hAnsi="Arial" w:cs="Arial"/>
                <w:sz w:val="20"/>
                <w:szCs w:val="20"/>
              </w:rPr>
              <w:t>71.9%</w:t>
            </w:r>
          </w:p>
        </w:tc>
      </w:tr>
      <w:tr w:rsidR="006A7B0D" w14:paraId="642EA261" w14:textId="77777777" w:rsidTr="006A7B0D">
        <w:trPr>
          <w:jc w:val="center"/>
        </w:trPr>
        <w:tc>
          <w:tcPr>
            <w:tcW w:w="0" w:type="auto"/>
            <w:vAlign w:val="center"/>
          </w:tcPr>
          <w:p w14:paraId="6025C0C7" w14:textId="77777777" w:rsidR="006A7B0D" w:rsidRPr="007E0A27" w:rsidRDefault="006A7B0D" w:rsidP="006A7B0D">
            <w:pPr>
              <w:keepNext/>
              <w:keepLines/>
              <w:rPr>
                <w:rFonts w:ascii="Arial" w:hAnsi="Arial" w:cs="Arial"/>
                <w:sz w:val="20"/>
                <w:szCs w:val="20"/>
              </w:rPr>
            </w:pPr>
            <w:r w:rsidRPr="007E0A27">
              <w:rPr>
                <w:rFonts w:ascii="Arial" w:hAnsi="Arial" w:cs="Arial"/>
                <w:sz w:val="20"/>
                <w:szCs w:val="20"/>
              </w:rPr>
              <w:t>Retail Stores</w:t>
            </w:r>
          </w:p>
        </w:tc>
        <w:tc>
          <w:tcPr>
            <w:tcW w:w="0" w:type="auto"/>
            <w:vAlign w:val="center"/>
          </w:tcPr>
          <w:p w14:paraId="23617859" w14:textId="148A8A61" w:rsidR="006A7B0D" w:rsidRPr="006A7B0D" w:rsidRDefault="006A7B0D" w:rsidP="006A7B0D">
            <w:pPr>
              <w:jc w:val="right"/>
              <w:rPr>
                <w:rFonts w:ascii="Arial" w:hAnsi="Arial" w:cs="Arial"/>
                <w:sz w:val="20"/>
                <w:szCs w:val="20"/>
              </w:rPr>
            </w:pPr>
          </w:p>
        </w:tc>
        <w:tc>
          <w:tcPr>
            <w:tcW w:w="0" w:type="auto"/>
            <w:vAlign w:val="center"/>
          </w:tcPr>
          <w:p w14:paraId="6D52B0F1" w14:textId="056526B4" w:rsidR="006A7B0D" w:rsidRPr="006A7B0D" w:rsidRDefault="006A7B0D" w:rsidP="006A7B0D">
            <w:pPr>
              <w:jc w:val="right"/>
              <w:rPr>
                <w:rFonts w:ascii="Arial" w:hAnsi="Arial" w:cs="Arial"/>
                <w:sz w:val="20"/>
                <w:szCs w:val="20"/>
              </w:rPr>
            </w:pPr>
          </w:p>
        </w:tc>
        <w:tc>
          <w:tcPr>
            <w:tcW w:w="0" w:type="auto"/>
            <w:vAlign w:val="center"/>
          </w:tcPr>
          <w:p w14:paraId="185AF9C0" w14:textId="49FCE189" w:rsidR="006A7B0D" w:rsidRPr="006A7B0D" w:rsidRDefault="006A7B0D" w:rsidP="006A7B0D">
            <w:pPr>
              <w:jc w:val="right"/>
              <w:rPr>
                <w:rFonts w:ascii="Arial" w:hAnsi="Arial" w:cs="Arial"/>
                <w:sz w:val="20"/>
                <w:szCs w:val="20"/>
              </w:rPr>
            </w:pPr>
          </w:p>
        </w:tc>
        <w:tc>
          <w:tcPr>
            <w:tcW w:w="0" w:type="auto"/>
            <w:vAlign w:val="center"/>
          </w:tcPr>
          <w:p w14:paraId="752BF950" w14:textId="6A5B41EC" w:rsidR="006A7B0D" w:rsidRPr="006A7B0D" w:rsidRDefault="006A7B0D" w:rsidP="006A7B0D">
            <w:pPr>
              <w:jc w:val="right"/>
              <w:rPr>
                <w:rFonts w:ascii="Arial" w:hAnsi="Arial" w:cs="Arial"/>
                <w:sz w:val="20"/>
                <w:szCs w:val="20"/>
              </w:rPr>
            </w:pPr>
          </w:p>
        </w:tc>
        <w:tc>
          <w:tcPr>
            <w:tcW w:w="0" w:type="auto"/>
            <w:vAlign w:val="center"/>
          </w:tcPr>
          <w:p w14:paraId="3308659A" w14:textId="1B8C245A" w:rsidR="006A7B0D" w:rsidRPr="006A7B0D" w:rsidRDefault="006A7B0D" w:rsidP="006A7B0D">
            <w:pPr>
              <w:jc w:val="right"/>
              <w:rPr>
                <w:rFonts w:ascii="Arial" w:hAnsi="Arial" w:cs="Arial"/>
                <w:sz w:val="20"/>
                <w:szCs w:val="20"/>
              </w:rPr>
            </w:pPr>
          </w:p>
        </w:tc>
      </w:tr>
      <w:tr w:rsidR="006A7B0D" w14:paraId="2720DC6A" w14:textId="77777777" w:rsidTr="006A7B0D">
        <w:trPr>
          <w:jc w:val="center"/>
        </w:trPr>
        <w:tc>
          <w:tcPr>
            <w:tcW w:w="0" w:type="auto"/>
            <w:vAlign w:val="center"/>
          </w:tcPr>
          <w:p w14:paraId="6C18507B" w14:textId="77777777" w:rsidR="006A7B0D" w:rsidRPr="007E0A27" w:rsidRDefault="006A7B0D" w:rsidP="006A7B0D">
            <w:pPr>
              <w:keepNext/>
              <w:keepLines/>
              <w:rPr>
                <w:rFonts w:ascii="Arial" w:hAnsi="Arial" w:cs="Arial"/>
                <w:sz w:val="20"/>
                <w:szCs w:val="20"/>
              </w:rPr>
            </w:pPr>
            <w:r w:rsidRPr="007E0A27">
              <w:rPr>
                <w:rFonts w:ascii="Arial" w:hAnsi="Arial" w:cs="Arial"/>
                <w:sz w:val="20"/>
                <w:szCs w:val="20"/>
              </w:rPr>
              <w:t>Offices, Hotels, Health, Services</w:t>
            </w:r>
          </w:p>
        </w:tc>
        <w:tc>
          <w:tcPr>
            <w:tcW w:w="0" w:type="auto"/>
            <w:vAlign w:val="center"/>
          </w:tcPr>
          <w:p w14:paraId="7BD47870" w14:textId="7F5ED628" w:rsidR="006A7B0D" w:rsidRPr="006A7B0D" w:rsidRDefault="006A7B0D" w:rsidP="006A7B0D">
            <w:pPr>
              <w:jc w:val="right"/>
              <w:rPr>
                <w:rFonts w:ascii="Arial" w:hAnsi="Arial" w:cs="Arial"/>
                <w:sz w:val="20"/>
                <w:szCs w:val="20"/>
              </w:rPr>
            </w:pPr>
          </w:p>
        </w:tc>
        <w:tc>
          <w:tcPr>
            <w:tcW w:w="0" w:type="auto"/>
            <w:vAlign w:val="center"/>
          </w:tcPr>
          <w:p w14:paraId="211D6756" w14:textId="13A01553" w:rsidR="006A7B0D" w:rsidRPr="006A7B0D" w:rsidRDefault="006A7B0D" w:rsidP="006A7B0D">
            <w:pPr>
              <w:jc w:val="right"/>
              <w:rPr>
                <w:rFonts w:ascii="Arial" w:hAnsi="Arial" w:cs="Arial"/>
                <w:sz w:val="20"/>
                <w:szCs w:val="20"/>
              </w:rPr>
            </w:pPr>
          </w:p>
        </w:tc>
        <w:tc>
          <w:tcPr>
            <w:tcW w:w="0" w:type="auto"/>
            <w:vAlign w:val="center"/>
          </w:tcPr>
          <w:p w14:paraId="00121175" w14:textId="448DEBE9" w:rsidR="006A7B0D" w:rsidRPr="006A7B0D" w:rsidRDefault="006A7B0D" w:rsidP="006A7B0D">
            <w:pPr>
              <w:jc w:val="right"/>
              <w:rPr>
                <w:rFonts w:ascii="Arial" w:hAnsi="Arial" w:cs="Arial"/>
                <w:sz w:val="20"/>
                <w:szCs w:val="20"/>
              </w:rPr>
            </w:pPr>
          </w:p>
        </w:tc>
        <w:tc>
          <w:tcPr>
            <w:tcW w:w="0" w:type="auto"/>
            <w:vAlign w:val="center"/>
          </w:tcPr>
          <w:p w14:paraId="5034665B" w14:textId="5FD68A8B" w:rsidR="006A7B0D" w:rsidRPr="006A7B0D" w:rsidRDefault="006A7B0D" w:rsidP="006A7B0D">
            <w:pPr>
              <w:jc w:val="right"/>
              <w:rPr>
                <w:rFonts w:ascii="Arial" w:hAnsi="Arial" w:cs="Arial"/>
                <w:sz w:val="20"/>
                <w:szCs w:val="20"/>
              </w:rPr>
            </w:pPr>
          </w:p>
        </w:tc>
        <w:tc>
          <w:tcPr>
            <w:tcW w:w="0" w:type="auto"/>
            <w:vAlign w:val="center"/>
          </w:tcPr>
          <w:p w14:paraId="05479B63" w14:textId="21EB6D8D" w:rsidR="006A7B0D" w:rsidRPr="006A7B0D" w:rsidRDefault="006A7B0D" w:rsidP="006A7B0D">
            <w:pPr>
              <w:jc w:val="right"/>
              <w:rPr>
                <w:rFonts w:ascii="Arial" w:hAnsi="Arial" w:cs="Arial"/>
                <w:sz w:val="20"/>
                <w:szCs w:val="20"/>
              </w:rPr>
            </w:pPr>
          </w:p>
        </w:tc>
      </w:tr>
      <w:tr w:rsidR="006A7B0D" w14:paraId="0E2B9A9B" w14:textId="77777777" w:rsidTr="006A7B0D">
        <w:trPr>
          <w:jc w:val="center"/>
        </w:trPr>
        <w:tc>
          <w:tcPr>
            <w:tcW w:w="0" w:type="auto"/>
            <w:vAlign w:val="center"/>
          </w:tcPr>
          <w:p w14:paraId="32B491DF" w14:textId="77777777" w:rsidR="006A7B0D" w:rsidRPr="007E0A27" w:rsidRDefault="006A7B0D" w:rsidP="006A7B0D">
            <w:pPr>
              <w:keepNext/>
              <w:keepLines/>
              <w:rPr>
                <w:rFonts w:ascii="Arial" w:hAnsi="Arial" w:cs="Arial"/>
                <w:sz w:val="20"/>
                <w:szCs w:val="20"/>
              </w:rPr>
            </w:pPr>
            <w:r w:rsidRPr="007E0A27">
              <w:rPr>
                <w:rFonts w:ascii="Arial" w:hAnsi="Arial" w:cs="Arial"/>
                <w:sz w:val="20"/>
                <w:szCs w:val="20"/>
              </w:rPr>
              <w:t>Schools</w:t>
            </w:r>
          </w:p>
        </w:tc>
        <w:tc>
          <w:tcPr>
            <w:tcW w:w="0" w:type="auto"/>
            <w:vAlign w:val="center"/>
          </w:tcPr>
          <w:p w14:paraId="544CD6CD" w14:textId="02AEAC01" w:rsidR="006A7B0D" w:rsidRPr="006A7B0D" w:rsidRDefault="006A7B0D" w:rsidP="006A7B0D">
            <w:pPr>
              <w:jc w:val="right"/>
              <w:rPr>
                <w:rFonts w:ascii="Arial" w:hAnsi="Arial" w:cs="Arial"/>
                <w:sz w:val="20"/>
                <w:szCs w:val="20"/>
              </w:rPr>
            </w:pPr>
          </w:p>
        </w:tc>
        <w:tc>
          <w:tcPr>
            <w:tcW w:w="0" w:type="auto"/>
            <w:vAlign w:val="center"/>
          </w:tcPr>
          <w:p w14:paraId="22D9588E" w14:textId="4977596E" w:rsidR="006A7B0D" w:rsidRPr="006A7B0D" w:rsidRDefault="006A7B0D" w:rsidP="006A7B0D">
            <w:pPr>
              <w:jc w:val="right"/>
              <w:rPr>
                <w:rFonts w:ascii="Arial" w:hAnsi="Arial" w:cs="Arial"/>
                <w:sz w:val="20"/>
                <w:szCs w:val="20"/>
              </w:rPr>
            </w:pPr>
          </w:p>
        </w:tc>
        <w:tc>
          <w:tcPr>
            <w:tcW w:w="0" w:type="auto"/>
            <w:vAlign w:val="center"/>
          </w:tcPr>
          <w:p w14:paraId="07271083" w14:textId="7D192A43" w:rsidR="006A7B0D" w:rsidRPr="006A7B0D" w:rsidRDefault="006A7B0D" w:rsidP="006A7B0D">
            <w:pPr>
              <w:jc w:val="right"/>
              <w:rPr>
                <w:rFonts w:ascii="Arial" w:hAnsi="Arial" w:cs="Arial"/>
                <w:sz w:val="20"/>
                <w:szCs w:val="20"/>
              </w:rPr>
            </w:pPr>
          </w:p>
        </w:tc>
        <w:tc>
          <w:tcPr>
            <w:tcW w:w="0" w:type="auto"/>
            <w:vAlign w:val="center"/>
          </w:tcPr>
          <w:p w14:paraId="00B12BAA" w14:textId="73E396B2" w:rsidR="006A7B0D" w:rsidRPr="006A7B0D" w:rsidRDefault="006A7B0D" w:rsidP="006A7B0D">
            <w:pPr>
              <w:jc w:val="right"/>
              <w:rPr>
                <w:rFonts w:ascii="Arial" w:hAnsi="Arial" w:cs="Arial"/>
                <w:sz w:val="20"/>
                <w:szCs w:val="20"/>
              </w:rPr>
            </w:pPr>
          </w:p>
        </w:tc>
        <w:tc>
          <w:tcPr>
            <w:tcW w:w="0" w:type="auto"/>
            <w:vAlign w:val="center"/>
          </w:tcPr>
          <w:p w14:paraId="27E4C378" w14:textId="744AC7E5" w:rsidR="006A7B0D" w:rsidRPr="006A7B0D" w:rsidRDefault="006A7B0D" w:rsidP="006A7B0D">
            <w:pPr>
              <w:jc w:val="right"/>
              <w:rPr>
                <w:rFonts w:ascii="Arial" w:hAnsi="Arial" w:cs="Arial"/>
                <w:sz w:val="20"/>
                <w:szCs w:val="20"/>
              </w:rPr>
            </w:pPr>
          </w:p>
        </w:tc>
      </w:tr>
      <w:tr w:rsidR="006A7B0D" w14:paraId="425B86A5" w14:textId="77777777" w:rsidTr="006A7B0D">
        <w:trPr>
          <w:jc w:val="center"/>
        </w:trPr>
        <w:tc>
          <w:tcPr>
            <w:tcW w:w="0" w:type="auto"/>
            <w:vAlign w:val="center"/>
          </w:tcPr>
          <w:p w14:paraId="39D6DA47" w14:textId="77777777" w:rsidR="006A7B0D" w:rsidRPr="007E0A27" w:rsidRDefault="006A7B0D" w:rsidP="006A7B0D">
            <w:pPr>
              <w:keepNext/>
              <w:keepLines/>
              <w:rPr>
                <w:rFonts w:ascii="Arial" w:hAnsi="Arial" w:cs="Arial"/>
                <w:sz w:val="20"/>
                <w:szCs w:val="20"/>
              </w:rPr>
            </w:pPr>
            <w:r w:rsidRPr="007E0A27">
              <w:rPr>
                <w:rFonts w:ascii="Arial" w:hAnsi="Arial" w:cs="Arial"/>
                <w:sz w:val="20"/>
                <w:szCs w:val="20"/>
              </w:rPr>
              <w:t>Entertainment, Other Services, Government</w:t>
            </w:r>
          </w:p>
        </w:tc>
        <w:tc>
          <w:tcPr>
            <w:tcW w:w="0" w:type="auto"/>
            <w:vAlign w:val="center"/>
          </w:tcPr>
          <w:p w14:paraId="0280AD33" w14:textId="00C4DB23" w:rsidR="006A7B0D" w:rsidRPr="006A7B0D" w:rsidRDefault="006A7B0D" w:rsidP="006A7B0D">
            <w:pPr>
              <w:jc w:val="right"/>
              <w:rPr>
                <w:rFonts w:ascii="Arial" w:hAnsi="Arial" w:cs="Arial"/>
                <w:sz w:val="20"/>
                <w:szCs w:val="20"/>
              </w:rPr>
            </w:pPr>
          </w:p>
        </w:tc>
        <w:tc>
          <w:tcPr>
            <w:tcW w:w="0" w:type="auto"/>
            <w:vAlign w:val="center"/>
          </w:tcPr>
          <w:p w14:paraId="1D813FC4" w14:textId="7D45FB41" w:rsidR="006A7B0D" w:rsidRPr="006A7B0D" w:rsidRDefault="006A7B0D" w:rsidP="006A7B0D">
            <w:pPr>
              <w:jc w:val="right"/>
              <w:rPr>
                <w:rFonts w:ascii="Arial" w:hAnsi="Arial" w:cs="Arial"/>
                <w:sz w:val="20"/>
                <w:szCs w:val="20"/>
              </w:rPr>
            </w:pPr>
          </w:p>
        </w:tc>
        <w:tc>
          <w:tcPr>
            <w:tcW w:w="0" w:type="auto"/>
            <w:vAlign w:val="center"/>
          </w:tcPr>
          <w:p w14:paraId="02780B90" w14:textId="70C2D3D8" w:rsidR="006A7B0D" w:rsidRPr="006A7B0D" w:rsidRDefault="006A7B0D" w:rsidP="006A7B0D">
            <w:pPr>
              <w:jc w:val="right"/>
              <w:rPr>
                <w:rFonts w:ascii="Arial" w:hAnsi="Arial" w:cs="Arial"/>
                <w:sz w:val="20"/>
                <w:szCs w:val="20"/>
              </w:rPr>
            </w:pPr>
          </w:p>
        </w:tc>
        <w:tc>
          <w:tcPr>
            <w:tcW w:w="0" w:type="auto"/>
            <w:vAlign w:val="center"/>
          </w:tcPr>
          <w:p w14:paraId="5260571F" w14:textId="396B9F16" w:rsidR="006A7B0D" w:rsidRPr="006A7B0D" w:rsidRDefault="006A7B0D" w:rsidP="006A7B0D">
            <w:pPr>
              <w:jc w:val="right"/>
              <w:rPr>
                <w:rFonts w:ascii="Arial" w:hAnsi="Arial" w:cs="Arial"/>
                <w:sz w:val="20"/>
                <w:szCs w:val="20"/>
              </w:rPr>
            </w:pPr>
          </w:p>
        </w:tc>
        <w:tc>
          <w:tcPr>
            <w:tcW w:w="0" w:type="auto"/>
            <w:vAlign w:val="center"/>
          </w:tcPr>
          <w:p w14:paraId="54FB28DD" w14:textId="02094A14" w:rsidR="006A7B0D" w:rsidRPr="006A7B0D" w:rsidRDefault="006A7B0D" w:rsidP="006A7B0D">
            <w:pPr>
              <w:jc w:val="right"/>
              <w:rPr>
                <w:rFonts w:ascii="Arial" w:hAnsi="Arial" w:cs="Arial"/>
                <w:sz w:val="20"/>
                <w:szCs w:val="20"/>
              </w:rPr>
            </w:pPr>
          </w:p>
        </w:tc>
      </w:tr>
      <w:tr w:rsidR="006A7B0D" w14:paraId="3A523436" w14:textId="77777777" w:rsidTr="006A7B0D">
        <w:trPr>
          <w:jc w:val="center"/>
        </w:trPr>
        <w:tc>
          <w:tcPr>
            <w:tcW w:w="0" w:type="auto"/>
            <w:vAlign w:val="center"/>
          </w:tcPr>
          <w:p w14:paraId="4C49320C" w14:textId="77777777" w:rsidR="006A7B0D" w:rsidRPr="007E0A27" w:rsidRDefault="006A7B0D" w:rsidP="006A7B0D">
            <w:pPr>
              <w:keepNext/>
              <w:keepLines/>
              <w:rPr>
                <w:rFonts w:ascii="Arial" w:hAnsi="Arial" w:cs="Arial"/>
                <w:sz w:val="20"/>
                <w:szCs w:val="20"/>
              </w:rPr>
            </w:pPr>
            <w:r w:rsidRPr="007E0A27">
              <w:rPr>
                <w:rFonts w:ascii="Arial" w:hAnsi="Arial" w:cs="Arial"/>
                <w:sz w:val="20"/>
                <w:szCs w:val="20"/>
              </w:rPr>
              <w:t>Other or Unknown</w:t>
            </w:r>
          </w:p>
        </w:tc>
        <w:tc>
          <w:tcPr>
            <w:tcW w:w="0" w:type="auto"/>
            <w:vAlign w:val="center"/>
          </w:tcPr>
          <w:p w14:paraId="2F11C27D" w14:textId="203AA5F8" w:rsidR="006A7B0D" w:rsidRPr="006A7B0D" w:rsidRDefault="006A7B0D" w:rsidP="006A7B0D">
            <w:pPr>
              <w:jc w:val="right"/>
              <w:rPr>
                <w:rFonts w:ascii="Arial" w:hAnsi="Arial" w:cs="Arial"/>
                <w:sz w:val="20"/>
                <w:szCs w:val="20"/>
              </w:rPr>
            </w:pPr>
          </w:p>
        </w:tc>
        <w:tc>
          <w:tcPr>
            <w:tcW w:w="0" w:type="auto"/>
            <w:vAlign w:val="center"/>
          </w:tcPr>
          <w:p w14:paraId="575EFDDD" w14:textId="7FC0BDB4" w:rsidR="006A7B0D" w:rsidRPr="006A7B0D" w:rsidRDefault="006A7B0D" w:rsidP="006A7B0D">
            <w:pPr>
              <w:jc w:val="right"/>
              <w:rPr>
                <w:rFonts w:ascii="Arial" w:hAnsi="Arial" w:cs="Arial"/>
                <w:sz w:val="20"/>
                <w:szCs w:val="20"/>
              </w:rPr>
            </w:pPr>
          </w:p>
        </w:tc>
        <w:tc>
          <w:tcPr>
            <w:tcW w:w="0" w:type="auto"/>
            <w:vAlign w:val="center"/>
          </w:tcPr>
          <w:p w14:paraId="723DF9EC" w14:textId="1338A939" w:rsidR="006A7B0D" w:rsidRPr="006A7B0D" w:rsidRDefault="006A7B0D" w:rsidP="006A7B0D">
            <w:pPr>
              <w:jc w:val="right"/>
              <w:rPr>
                <w:rFonts w:ascii="Arial" w:hAnsi="Arial" w:cs="Arial"/>
                <w:sz w:val="20"/>
                <w:szCs w:val="20"/>
              </w:rPr>
            </w:pPr>
          </w:p>
        </w:tc>
        <w:tc>
          <w:tcPr>
            <w:tcW w:w="0" w:type="auto"/>
            <w:vAlign w:val="center"/>
          </w:tcPr>
          <w:p w14:paraId="4EA9CF7D" w14:textId="6F510BA5" w:rsidR="006A7B0D" w:rsidRPr="006A7B0D" w:rsidRDefault="006A7B0D" w:rsidP="006A7B0D">
            <w:pPr>
              <w:jc w:val="right"/>
              <w:rPr>
                <w:rFonts w:ascii="Arial" w:hAnsi="Arial" w:cs="Arial"/>
                <w:sz w:val="20"/>
                <w:szCs w:val="20"/>
              </w:rPr>
            </w:pPr>
          </w:p>
        </w:tc>
        <w:tc>
          <w:tcPr>
            <w:tcW w:w="0" w:type="auto"/>
            <w:vAlign w:val="center"/>
          </w:tcPr>
          <w:p w14:paraId="6389D8E2" w14:textId="1B177E32" w:rsidR="006A7B0D" w:rsidRPr="006A7B0D" w:rsidRDefault="006A7B0D" w:rsidP="006A7B0D">
            <w:pPr>
              <w:jc w:val="right"/>
              <w:rPr>
                <w:rFonts w:ascii="Arial" w:hAnsi="Arial" w:cs="Arial"/>
                <w:sz w:val="20"/>
                <w:szCs w:val="20"/>
              </w:rPr>
            </w:pPr>
          </w:p>
        </w:tc>
      </w:tr>
      <w:tr w:rsidR="006A7B0D" w14:paraId="54B8AA88" w14:textId="77777777" w:rsidTr="006A7B0D">
        <w:trPr>
          <w:jc w:val="center"/>
        </w:trPr>
        <w:tc>
          <w:tcPr>
            <w:tcW w:w="0" w:type="auto"/>
          </w:tcPr>
          <w:p w14:paraId="7EA9DAD9" w14:textId="77777777" w:rsidR="006A7B0D" w:rsidRPr="007E0A27" w:rsidRDefault="006A7B0D" w:rsidP="006A7B0D">
            <w:pPr>
              <w:keepNext/>
              <w:keepLines/>
              <w:rPr>
                <w:rFonts w:ascii="Arial" w:hAnsi="Arial" w:cs="Arial"/>
                <w:b/>
                <w:sz w:val="20"/>
                <w:szCs w:val="20"/>
              </w:rPr>
            </w:pPr>
            <w:r w:rsidRPr="007E0A27">
              <w:rPr>
                <w:rFonts w:ascii="Arial" w:hAnsi="Arial" w:cs="Arial"/>
                <w:b/>
                <w:sz w:val="20"/>
                <w:szCs w:val="20"/>
              </w:rPr>
              <w:t>Total</w:t>
            </w:r>
          </w:p>
        </w:tc>
        <w:tc>
          <w:tcPr>
            <w:tcW w:w="0" w:type="auto"/>
            <w:vAlign w:val="center"/>
          </w:tcPr>
          <w:p w14:paraId="553DB1DD" w14:textId="1C0A8F9B" w:rsidR="006A7B0D" w:rsidRPr="006A7B0D" w:rsidRDefault="006A7B0D" w:rsidP="006A7B0D">
            <w:pPr>
              <w:jc w:val="right"/>
              <w:rPr>
                <w:rFonts w:ascii="Arial" w:hAnsi="Arial" w:cs="Arial"/>
                <w:b/>
                <w:sz w:val="20"/>
                <w:szCs w:val="20"/>
              </w:rPr>
            </w:pPr>
            <w:r w:rsidRPr="006A7B0D">
              <w:rPr>
                <w:rFonts w:ascii="Arial" w:hAnsi="Arial" w:cs="Arial"/>
                <w:b/>
                <w:sz w:val="20"/>
                <w:szCs w:val="20"/>
              </w:rPr>
              <w:t>218</w:t>
            </w:r>
          </w:p>
        </w:tc>
        <w:tc>
          <w:tcPr>
            <w:tcW w:w="0" w:type="auto"/>
            <w:vAlign w:val="center"/>
          </w:tcPr>
          <w:p w14:paraId="3ADD4F04" w14:textId="51DDDBAB" w:rsidR="006A7B0D" w:rsidRPr="006A7B0D" w:rsidRDefault="006A7B0D" w:rsidP="006A7B0D">
            <w:pPr>
              <w:jc w:val="right"/>
              <w:rPr>
                <w:rFonts w:ascii="Arial" w:hAnsi="Arial" w:cs="Arial"/>
                <w:b/>
                <w:sz w:val="20"/>
                <w:szCs w:val="20"/>
              </w:rPr>
            </w:pPr>
            <w:r w:rsidRPr="006A7B0D">
              <w:rPr>
                <w:rFonts w:ascii="Arial" w:hAnsi="Arial" w:cs="Arial"/>
                <w:b/>
                <w:sz w:val="20"/>
                <w:szCs w:val="20"/>
              </w:rPr>
              <w:t>285.8</w:t>
            </w:r>
          </w:p>
        </w:tc>
        <w:tc>
          <w:tcPr>
            <w:tcW w:w="0" w:type="auto"/>
            <w:vAlign w:val="center"/>
          </w:tcPr>
          <w:p w14:paraId="572D1D3A" w14:textId="24B11AAA" w:rsidR="006A7B0D" w:rsidRPr="006A7B0D" w:rsidRDefault="006A7B0D" w:rsidP="006A7B0D">
            <w:pPr>
              <w:jc w:val="right"/>
              <w:rPr>
                <w:rFonts w:ascii="Arial" w:hAnsi="Arial" w:cs="Arial"/>
                <w:b/>
                <w:sz w:val="20"/>
                <w:szCs w:val="20"/>
              </w:rPr>
            </w:pPr>
            <w:r w:rsidRPr="006A7B0D">
              <w:rPr>
                <w:rFonts w:ascii="Arial" w:hAnsi="Arial" w:cs="Arial"/>
                <w:b/>
                <w:sz w:val="20"/>
                <w:szCs w:val="20"/>
              </w:rPr>
              <w:t>57.6</w:t>
            </w:r>
          </w:p>
        </w:tc>
        <w:tc>
          <w:tcPr>
            <w:tcW w:w="0" w:type="auto"/>
            <w:vAlign w:val="center"/>
          </w:tcPr>
          <w:p w14:paraId="78C70C90" w14:textId="17DBD2BB" w:rsidR="006A7B0D" w:rsidRPr="006A7B0D" w:rsidRDefault="006A7B0D" w:rsidP="006A7B0D">
            <w:pPr>
              <w:jc w:val="right"/>
              <w:rPr>
                <w:rFonts w:ascii="Arial" w:hAnsi="Arial" w:cs="Arial"/>
                <w:b/>
                <w:sz w:val="20"/>
                <w:szCs w:val="20"/>
              </w:rPr>
            </w:pPr>
            <w:r w:rsidRPr="006A7B0D">
              <w:rPr>
                <w:rFonts w:ascii="Arial" w:hAnsi="Arial" w:cs="Arial"/>
                <w:b/>
                <w:sz w:val="20"/>
                <w:szCs w:val="20"/>
              </w:rPr>
              <w:t>228.2</w:t>
            </w:r>
          </w:p>
        </w:tc>
        <w:tc>
          <w:tcPr>
            <w:tcW w:w="0" w:type="auto"/>
            <w:vAlign w:val="center"/>
          </w:tcPr>
          <w:p w14:paraId="0739EFFE" w14:textId="392A975E" w:rsidR="006A7B0D" w:rsidRPr="006A7B0D" w:rsidRDefault="006A7B0D" w:rsidP="006A7B0D">
            <w:pPr>
              <w:jc w:val="right"/>
              <w:rPr>
                <w:rFonts w:ascii="Arial" w:hAnsi="Arial" w:cs="Arial"/>
                <w:b/>
                <w:sz w:val="20"/>
                <w:szCs w:val="20"/>
              </w:rPr>
            </w:pPr>
            <w:r w:rsidRPr="006A7B0D">
              <w:rPr>
                <w:rFonts w:ascii="Arial" w:hAnsi="Arial" w:cs="Arial"/>
                <w:b/>
                <w:sz w:val="20"/>
                <w:szCs w:val="20"/>
              </w:rPr>
              <w:t>79.8%</w:t>
            </w:r>
          </w:p>
        </w:tc>
      </w:tr>
    </w:tbl>
    <w:p w14:paraId="4B72F348" w14:textId="77777777" w:rsidR="00321E09" w:rsidRDefault="00321E09" w:rsidP="002C417F">
      <w:pPr>
        <w:keepNext/>
        <w:keepLines/>
      </w:pPr>
    </w:p>
    <w:p w14:paraId="13EBDCC3" w14:textId="115489E2" w:rsidR="002F29FA" w:rsidRDefault="002F29FA" w:rsidP="002F29FA">
      <w:r>
        <w:t>Table 4.4 summarizes</w:t>
      </w:r>
      <w:r w:rsidR="00972362">
        <w:t xml:space="preserve"> September 11</w:t>
      </w:r>
      <w:r w:rsidR="00972362" w:rsidRPr="00972362">
        <w:rPr>
          <w:vertAlign w:val="superscript"/>
        </w:rPr>
        <w:t>th</w:t>
      </w:r>
      <w:r w:rsidR="00972362">
        <w:t xml:space="preserve"> </w:t>
      </w:r>
      <w:r>
        <w:t>load impacts by local capacity area (LCA), showing that the highest share of the load impacts came from service a</w:t>
      </w:r>
      <w:r w:rsidR="00383F6F">
        <w:t>greement</w:t>
      </w:r>
      <w:r>
        <w:t xml:space="preserve">s not associated with any LCA. </w:t>
      </w:r>
      <w:r w:rsidR="00A94317">
        <w:t>Note that portions of the table have been removed due to confidentiality concerns.</w:t>
      </w:r>
      <w:r>
        <w:t xml:space="preserve"> </w:t>
      </w:r>
    </w:p>
    <w:p w14:paraId="5A80E2E1" w14:textId="0ABE0032" w:rsidR="00321E09" w:rsidRPr="00852320" w:rsidRDefault="00321E09" w:rsidP="00D575C8">
      <w:pPr>
        <w:pStyle w:val="TableCaption"/>
        <w:keepNext/>
        <w:keepLines/>
      </w:pPr>
      <w:bookmarkStart w:id="67" w:name="_Toc415489011"/>
      <w:r w:rsidRPr="00852320">
        <w:lastRenderedPageBreak/>
        <w:t>Table 4.</w:t>
      </w:r>
      <w:r w:rsidR="00F02657" w:rsidRPr="00852320">
        <w:t>4</w:t>
      </w:r>
      <w:r w:rsidRPr="00852320">
        <w:t xml:space="preserve">: </w:t>
      </w:r>
      <w:r w:rsidR="00972362">
        <w:t xml:space="preserve">September 11, 2014 </w:t>
      </w:r>
      <w:r w:rsidRPr="00852320">
        <w:t xml:space="preserve">Load Impacts – PG&amp;E </w:t>
      </w:r>
      <w:r w:rsidR="00972362">
        <w:t>BI</w:t>
      </w:r>
      <w:r w:rsidRPr="00852320">
        <w:t xml:space="preserve">P, </w:t>
      </w:r>
      <w:r w:rsidRPr="00852320">
        <w:rPr>
          <w:i/>
        </w:rPr>
        <w:t>by LCA</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6"/>
        <w:gridCol w:w="1722"/>
        <w:gridCol w:w="1805"/>
        <w:gridCol w:w="1459"/>
        <w:gridCol w:w="1700"/>
        <w:gridCol w:w="784"/>
      </w:tblGrid>
      <w:tr w:rsidR="00321E09" w14:paraId="02652936" w14:textId="77777777" w:rsidTr="0005199B">
        <w:tc>
          <w:tcPr>
            <w:tcW w:w="0" w:type="auto"/>
            <w:shd w:val="clear" w:color="auto" w:fill="D9E2F3"/>
            <w:vAlign w:val="center"/>
          </w:tcPr>
          <w:p w14:paraId="1D8CBADD"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Local Capacity Area</w:t>
            </w:r>
          </w:p>
        </w:tc>
        <w:tc>
          <w:tcPr>
            <w:tcW w:w="0" w:type="auto"/>
            <w:shd w:val="clear" w:color="auto" w:fill="D9E2F3"/>
            <w:vAlign w:val="center"/>
          </w:tcPr>
          <w:p w14:paraId="3AE9840E" w14:textId="5E7962C9" w:rsidR="00321E09" w:rsidRPr="007E0A27" w:rsidRDefault="002F29FA" w:rsidP="00383F6F">
            <w:pPr>
              <w:keepNext/>
              <w:keepLines/>
              <w:jc w:val="center"/>
              <w:rPr>
                <w:rFonts w:ascii="Arial" w:hAnsi="Arial" w:cs="Arial"/>
                <w:b/>
                <w:sz w:val="20"/>
                <w:szCs w:val="20"/>
              </w:rPr>
            </w:pPr>
            <w:r>
              <w:rPr>
                <w:rFonts w:ascii="Arial" w:hAnsi="Arial" w:cs="Arial"/>
                <w:b/>
                <w:sz w:val="20"/>
                <w:szCs w:val="20"/>
              </w:rPr>
              <w:t># of Service A</w:t>
            </w:r>
            <w:r w:rsidR="00383F6F">
              <w:rPr>
                <w:rFonts w:ascii="Arial" w:hAnsi="Arial" w:cs="Arial"/>
                <w:b/>
                <w:sz w:val="20"/>
                <w:szCs w:val="20"/>
              </w:rPr>
              <w:t>greement</w:t>
            </w:r>
            <w:r>
              <w:rPr>
                <w:rFonts w:ascii="Arial" w:hAnsi="Arial" w:cs="Arial"/>
                <w:b/>
                <w:sz w:val="20"/>
                <w:szCs w:val="20"/>
              </w:rPr>
              <w:t>s</w:t>
            </w:r>
          </w:p>
        </w:tc>
        <w:tc>
          <w:tcPr>
            <w:tcW w:w="0" w:type="auto"/>
            <w:shd w:val="clear" w:color="auto" w:fill="D9E2F3"/>
            <w:vAlign w:val="center"/>
          </w:tcPr>
          <w:p w14:paraId="2B7BE9C6"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0" w:type="auto"/>
            <w:shd w:val="clear" w:color="auto" w:fill="D9E2F3"/>
            <w:vAlign w:val="center"/>
          </w:tcPr>
          <w:p w14:paraId="4BC41EDB"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Observed Load (MW)</w:t>
            </w:r>
          </w:p>
        </w:tc>
        <w:tc>
          <w:tcPr>
            <w:tcW w:w="0" w:type="auto"/>
            <w:shd w:val="clear" w:color="auto" w:fill="D9E2F3"/>
            <w:vAlign w:val="center"/>
          </w:tcPr>
          <w:p w14:paraId="3DE08DCD"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Estimated Load Impact (MW)</w:t>
            </w:r>
          </w:p>
        </w:tc>
        <w:tc>
          <w:tcPr>
            <w:tcW w:w="0" w:type="auto"/>
            <w:shd w:val="clear" w:color="auto" w:fill="D9E2F3"/>
            <w:vAlign w:val="center"/>
          </w:tcPr>
          <w:p w14:paraId="6AACCDEF" w14:textId="77777777" w:rsidR="00321E09" w:rsidRPr="007E0A27" w:rsidRDefault="00321E09" w:rsidP="00D575C8">
            <w:pPr>
              <w:keepNext/>
              <w:keepLines/>
              <w:jc w:val="center"/>
              <w:rPr>
                <w:rFonts w:ascii="Arial" w:hAnsi="Arial" w:cs="Arial"/>
                <w:b/>
                <w:sz w:val="20"/>
                <w:szCs w:val="20"/>
              </w:rPr>
            </w:pPr>
            <w:r w:rsidRPr="007E0A27">
              <w:rPr>
                <w:rFonts w:ascii="Arial" w:hAnsi="Arial" w:cs="Arial"/>
                <w:b/>
                <w:sz w:val="20"/>
                <w:szCs w:val="20"/>
              </w:rPr>
              <w:t>% LI</w:t>
            </w:r>
          </w:p>
        </w:tc>
      </w:tr>
      <w:tr w:rsidR="006A7B0D" w14:paraId="76AAB2E3" w14:textId="77777777" w:rsidTr="006A7B0D">
        <w:tc>
          <w:tcPr>
            <w:tcW w:w="0" w:type="auto"/>
            <w:vAlign w:val="center"/>
          </w:tcPr>
          <w:p w14:paraId="7DEAB8DB" w14:textId="77777777" w:rsidR="006A7B0D" w:rsidRPr="00312499" w:rsidRDefault="006A7B0D" w:rsidP="006A7B0D">
            <w:pPr>
              <w:keepNext/>
              <w:keepLines/>
              <w:rPr>
                <w:rFonts w:ascii="Arial" w:hAnsi="Arial" w:cs="Arial"/>
                <w:sz w:val="20"/>
                <w:szCs w:val="20"/>
              </w:rPr>
            </w:pPr>
            <w:r w:rsidRPr="00312499">
              <w:rPr>
                <w:rFonts w:ascii="Arial" w:hAnsi="Arial" w:cs="Arial"/>
                <w:sz w:val="20"/>
                <w:szCs w:val="20"/>
              </w:rPr>
              <w:t>Greater Bay Area</w:t>
            </w:r>
          </w:p>
        </w:tc>
        <w:tc>
          <w:tcPr>
            <w:tcW w:w="0" w:type="auto"/>
            <w:vAlign w:val="center"/>
          </w:tcPr>
          <w:p w14:paraId="30C2AB43" w14:textId="1855DE84" w:rsidR="006A7B0D" w:rsidRPr="006A7B0D" w:rsidRDefault="006A7B0D" w:rsidP="006A7B0D">
            <w:pPr>
              <w:jc w:val="right"/>
              <w:rPr>
                <w:rFonts w:ascii="Arial" w:hAnsi="Arial" w:cs="Arial"/>
                <w:sz w:val="20"/>
                <w:szCs w:val="20"/>
              </w:rPr>
            </w:pPr>
          </w:p>
        </w:tc>
        <w:tc>
          <w:tcPr>
            <w:tcW w:w="0" w:type="auto"/>
            <w:vAlign w:val="center"/>
          </w:tcPr>
          <w:p w14:paraId="373103EE" w14:textId="10E41066" w:rsidR="006A7B0D" w:rsidRPr="006A7B0D" w:rsidRDefault="006A7B0D" w:rsidP="006A7B0D">
            <w:pPr>
              <w:jc w:val="right"/>
              <w:rPr>
                <w:rFonts w:ascii="Arial" w:hAnsi="Arial" w:cs="Arial"/>
                <w:sz w:val="20"/>
                <w:szCs w:val="20"/>
              </w:rPr>
            </w:pPr>
          </w:p>
        </w:tc>
        <w:tc>
          <w:tcPr>
            <w:tcW w:w="0" w:type="auto"/>
            <w:vAlign w:val="center"/>
          </w:tcPr>
          <w:p w14:paraId="6E708C16" w14:textId="7E0B41B1" w:rsidR="006A7B0D" w:rsidRPr="006A7B0D" w:rsidRDefault="006A7B0D" w:rsidP="006A7B0D">
            <w:pPr>
              <w:jc w:val="right"/>
              <w:rPr>
                <w:rFonts w:ascii="Arial" w:hAnsi="Arial" w:cs="Arial"/>
                <w:sz w:val="20"/>
                <w:szCs w:val="20"/>
              </w:rPr>
            </w:pPr>
          </w:p>
        </w:tc>
        <w:tc>
          <w:tcPr>
            <w:tcW w:w="0" w:type="auto"/>
            <w:vAlign w:val="center"/>
          </w:tcPr>
          <w:p w14:paraId="6EBB24E5" w14:textId="17B10B4D" w:rsidR="006A7B0D" w:rsidRPr="006A7B0D" w:rsidRDefault="006A7B0D" w:rsidP="006A7B0D">
            <w:pPr>
              <w:jc w:val="right"/>
              <w:rPr>
                <w:rFonts w:ascii="Arial" w:hAnsi="Arial" w:cs="Arial"/>
                <w:sz w:val="20"/>
                <w:szCs w:val="20"/>
              </w:rPr>
            </w:pPr>
          </w:p>
        </w:tc>
        <w:tc>
          <w:tcPr>
            <w:tcW w:w="0" w:type="auto"/>
            <w:vAlign w:val="center"/>
          </w:tcPr>
          <w:p w14:paraId="1C835D9B" w14:textId="04FDCD13" w:rsidR="006A7B0D" w:rsidRPr="006A7B0D" w:rsidRDefault="006A7B0D" w:rsidP="006A7B0D">
            <w:pPr>
              <w:jc w:val="right"/>
              <w:rPr>
                <w:rFonts w:ascii="Arial" w:hAnsi="Arial" w:cs="Arial"/>
                <w:sz w:val="20"/>
                <w:szCs w:val="20"/>
              </w:rPr>
            </w:pPr>
          </w:p>
        </w:tc>
      </w:tr>
      <w:tr w:rsidR="006A7B0D" w14:paraId="2055A301" w14:textId="77777777" w:rsidTr="006A7B0D">
        <w:tc>
          <w:tcPr>
            <w:tcW w:w="0" w:type="auto"/>
            <w:vAlign w:val="center"/>
          </w:tcPr>
          <w:p w14:paraId="0D9D956B" w14:textId="77777777" w:rsidR="006A7B0D" w:rsidRPr="00312499" w:rsidRDefault="006A7B0D" w:rsidP="006A7B0D">
            <w:pPr>
              <w:keepNext/>
              <w:keepLines/>
              <w:rPr>
                <w:rFonts w:ascii="Arial" w:hAnsi="Arial" w:cs="Arial"/>
                <w:sz w:val="20"/>
                <w:szCs w:val="20"/>
              </w:rPr>
            </w:pPr>
            <w:r w:rsidRPr="00312499">
              <w:rPr>
                <w:rFonts w:ascii="Arial" w:hAnsi="Arial" w:cs="Arial"/>
                <w:sz w:val="20"/>
                <w:szCs w:val="20"/>
              </w:rPr>
              <w:t xml:space="preserve">Greater </w:t>
            </w:r>
            <w:smartTag w:uri="urn:schemas-microsoft-com:office:smarttags" w:element="place">
              <w:smartTag w:uri="urn:schemas-microsoft-com:office:smarttags" w:element="City">
                <w:r w:rsidRPr="00312499">
                  <w:rPr>
                    <w:rFonts w:ascii="Arial" w:hAnsi="Arial" w:cs="Arial"/>
                    <w:sz w:val="20"/>
                    <w:szCs w:val="20"/>
                  </w:rPr>
                  <w:t>Fresno</w:t>
                </w:r>
              </w:smartTag>
            </w:smartTag>
          </w:p>
        </w:tc>
        <w:tc>
          <w:tcPr>
            <w:tcW w:w="0" w:type="auto"/>
            <w:vAlign w:val="center"/>
          </w:tcPr>
          <w:p w14:paraId="7179F386" w14:textId="534CE875" w:rsidR="006A7B0D" w:rsidRPr="006A7B0D" w:rsidRDefault="006A7B0D" w:rsidP="006A7B0D">
            <w:pPr>
              <w:jc w:val="right"/>
              <w:rPr>
                <w:rFonts w:ascii="Arial" w:hAnsi="Arial" w:cs="Arial"/>
                <w:sz w:val="20"/>
                <w:szCs w:val="20"/>
              </w:rPr>
            </w:pPr>
          </w:p>
        </w:tc>
        <w:tc>
          <w:tcPr>
            <w:tcW w:w="0" w:type="auto"/>
            <w:vAlign w:val="center"/>
          </w:tcPr>
          <w:p w14:paraId="6E804AB9" w14:textId="4F74EA4A" w:rsidR="006A7B0D" w:rsidRPr="006A7B0D" w:rsidRDefault="006A7B0D" w:rsidP="006A7B0D">
            <w:pPr>
              <w:jc w:val="right"/>
              <w:rPr>
                <w:rFonts w:ascii="Arial" w:hAnsi="Arial" w:cs="Arial"/>
                <w:sz w:val="20"/>
                <w:szCs w:val="20"/>
              </w:rPr>
            </w:pPr>
          </w:p>
        </w:tc>
        <w:tc>
          <w:tcPr>
            <w:tcW w:w="0" w:type="auto"/>
            <w:vAlign w:val="center"/>
          </w:tcPr>
          <w:p w14:paraId="4ABF7C8A" w14:textId="6347AAEB" w:rsidR="006A7B0D" w:rsidRPr="006A7B0D" w:rsidRDefault="006A7B0D" w:rsidP="006A7B0D">
            <w:pPr>
              <w:jc w:val="right"/>
              <w:rPr>
                <w:rFonts w:ascii="Arial" w:hAnsi="Arial" w:cs="Arial"/>
                <w:sz w:val="20"/>
                <w:szCs w:val="20"/>
              </w:rPr>
            </w:pPr>
          </w:p>
        </w:tc>
        <w:tc>
          <w:tcPr>
            <w:tcW w:w="0" w:type="auto"/>
            <w:vAlign w:val="center"/>
          </w:tcPr>
          <w:p w14:paraId="2F19922D" w14:textId="6CADD169" w:rsidR="006A7B0D" w:rsidRPr="006A7B0D" w:rsidRDefault="006A7B0D" w:rsidP="006A7B0D">
            <w:pPr>
              <w:jc w:val="right"/>
              <w:rPr>
                <w:rFonts w:ascii="Arial" w:hAnsi="Arial" w:cs="Arial"/>
                <w:sz w:val="20"/>
                <w:szCs w:val="20"/>
              </w:rPr>
            </w:pPr>
          </w:p>
        </w:tc>
        <w:tc>
          <w:tcPr>
            <w:tcW w:w="0" w:type="auto"/>
            <w:vAlign w:val="center"/>
          </w:tcPr>
          <w:p w14:paraId="03098C3D" w14:textId="3146300B" w:rsidR="006A7B0D" w:rsidRPr="006A7B0D" w:rsidRDefault="006A7B0D" w:rsidP="006A7B0D">
            <w:pPr>
              <w:jc w:val="right"/>
              <w:rPr>
                <w:rFonts w:ascii="Arial" w:hAnsi="Arial" w:cs="Arial"/>
                <w:sz w:val="20"/>
                <w:szCs w:val="20"/>
              </w:rPr>
            </w:pPr>
          </w:p>
        </w:tc>
      </w:tr>
      <w:tr w:rsidR="006A7B0D" w14:paraId="1AF17E21" w14:textId="77777777" w:rsidTr="006A7B0D">
        <w:tc>
          <w:tcPr>
            <w:tcW w:w="0" w:type="auto"/>
            <w:vAlign w:val="center"/>
          </w:tcPr>
          <w:p w14:paraId="105B229A" w14:textId="77777777" w:rsidR="006A7B0D" w:rsidRPr="00312499" w:rsidRDefault="006A7B0D" w:rsidP="006A7B0D">
            <w:pPr>
              <w:keepNext/>
              <w:keepLines/>
              <w:rPr>
                <w:rFonts w:ascii="Arial" w:hAnsi="Arial" w:cs="Arial"/>
                <w:sz w:val="20"/>
                <w:szCs w:val="20"/>
              </w:rPr>
            </w:pPr>
            <w:r w:rsidRPr="00312499">
              <w:rPr>
                <w:rFonts w:ascii="Arial" w:hAnsi="Arial" w:cs="Arial"/>
                <w:sz w:val="20"/>
                <w:szCs w:val="20"/>
              </w:rPr>
              <w:t>Humboldt</w:t>
            </w:r>
          </w:p>
        </w:tc>
        <w:tc>
          <w:tcPr>
            <w:tcW w:w="0" w:type="auto"/>
            <w:vAlign w:val="center"/>
          </w:tcPr>
          <w:p w14:paraId="134B3222" w14:textId="31DCB818" w:rsidR="006A7B0D" w:rsidRPr="006A7B0D" w:rsidRDefault="006A7B0D" w:rsidP="006A7B0D">
            <w:pPr>
              <w:jc w:val="right"/>
              <w:rPr>
                <w:rFonts w:ascii="Arial" w:hAnsi="Arial" w:cs="Arial"/>
                <w:sz w:val="20"/>
                <w:szCs w:val="20"/>
              </w:rPr>
            </w:pPr>
          </w:p>
        </w:tc>
        <w:tc>
          <w:tcPr>
            <w:tcW w:w="0" w:type="auto"/>
            <w:vAlign w:val="center"/>
          </w:tcPr>
          <w:p w14:paraId="46CF0111" w14:textId="175BA52F" w:rsidR="006A7B0D" w:rsidRPr="006A7B0D" w:rsidRDefault="006A7B0D" w:rsidP="006A7B0D">
            <w:pPr>
              <w:jc w:val="right"/>
              <w:rPr>
                <w:rFonts w:ascii="Arial" w:hAnsi="Arial" w:cs="Arial"/>
                <w:sz w:val="20"/>
                <w:szCs w:val="20"/>
              </w:rPr>
            </w:pPr>
          </w:p>
        </w:tc>
        <w:tc>
          <w:tcPr>
            <w:tcW w:w="0" w:type="auto"/>
            <w:vAlign w:val="center"/>
          </w:tcPr>
          <w:p w14:paraId="0E68C44B" w14:textId="0AF29570" w:rsidR="006A7B0D" w:rsidRPr="006A7B0D" w:rsidRDefault="006A7B0D" w:rsidP="006A7B0D">
            <w:pPr>
              <w:jc w:val="right"/>
              <w:rPr>
                <w:rFonts w:ascii="Arial" w:hAnsi="Arial" w:cs="Arial"/>
                <w:sz w:val="20"/>
                <w:szCs w:val="20"/>
              </w:rPr>
            </w:pPr>
          </w:p>
        </w:tc>
        <w:tc>
          <w:tcPr>
            <w:tcW w:w="0" w:type="auto"/>
            <w:vAlign w:val="center"/>
          </w:tcPr>
          <w:p w14:paraId="643F1FED" w14:textId="3DCA0A1B" w:rsidR="006A7B0D" w:rsidRPr="006A7B0D" w:rsidRDefault="006A7B0D" w:rsidP="006A7B0D">
            <w:pPr>
              <w:jc w:val="right"/>
              <w:rPr>
                <w:rFonts w:ascii="Arial" w:hAnsi="Arial" w:cs="Arial"/>
                <w:sz w:val="20"/>
                <w:szCs w:val="20"/>
              </w:rPr>
            </w:pPr>
          </w:p>
        </w:tc>
        <w:tc>
          <w:tcPr>
            <w:tcW w:w="0" w:type="auto"/>
            <w:vAlign w:val="center"/>
          </w:tcPr>
          <w:p w14:paraId="64B8A727" w14:textId="487EA699" w:rsidR="006A7B0D" w:rsidRPr="006A7B0D" w:rsidRDefault="006A7B0D" w:rsidP="006A7B0D">
            <w:pPr>
              <w:jc w:val="right"/>
              <w:rPr>
                <w:rFonts w:ascii="Arial" w:hAnsi="Arial" w:cs="Arial"/>
                <w:sz w:val="20"/>
                <w:szCs w:val="20"/>
              </w:rPr>
            </w:pPr>
          </w:p>
        </w:tc>
      </w:tr>
      <w:tr w:rsidR="006A7B0D" w14:paraId="35F4D8E3" w14:textId="77777777" w:rsidTr="006A7B0D">
        <w:tc>
          <w:tcPr>
            <w:tcW w:w="0" w:type="auto"/>
            <w:vAlign w:val="center"/>
          </w:tcPr>
          <w:p w14:paraId="3D806E3D" w14:textId="77777777" w:rsidR="006A7B0D" w:rsidRPr="00312499" w:rsidRDefault="006A7B0D" w:rsidP="006A7B0D">
            <w:pPr>
              <w:keepNext/>
              <w:keepLines/>
              <w:rPr>
                <w:rFonts w:ascii="Arial" w:hAnsi="Arial" w:cs="Arial"/>
                <w:sz w:val="20"/>
                <w:szCs w:val="20"/>
              </w:rPr>
            </w:pPr>
            <w:r w:rsidRPr="00312499">
              <w:rPr>
                <w:rFonts w:ascii="Arial" w:hAnsi="Arial" w:cs="Arial"/>
                <w:sz w:val="20"/>
                <w:szCs w:val="20"/>
              </w:rPr>
              <w:t>Kern</w:t>
            </w:r>
          </w:p>
        </w:tc>
        <w:tc>
          <w:tcPr>
            <w:tcW w:w="0" w:type="auto"/>
            <w:vAlign w:val="center"/>
          </w:tcPr>
          <w:p w14:paraId="0311E11F" w14:textId="623C3BEA" w:rsidR="006A7B0D" w:rsidRPr="006A7B0D" w:rsidRDefault="006A7B0D" w:rsidP="006A7B0D">
            <w:pPr>
              <w:jc w:val="right"/>
              <w:rPr>
                <w:rFonts w:ascii="Arial" w:hAnsi="Arial" w:cs="Arial"/>
                <w:sz w:val="20"/>
                <w:szCs w:val="20"/>
              </w:rPr>
            </w:pPr>
          </w:p>
        </w:tc>
        <w:tc>
          <w:tcPr>
            <w:tcW w:w="0" w:type="auto"/>
            <w:vAlign w:val="center"/>
          </w:tcPr>
          <w:p w14:paraId="5FF61643" w14:textId="03E423C0" w:rsidR="006A7B0D" w:rsidRPr="006A7B0D" w:rsidRDefault="006A7B0D" w:rsidP="006A7B0D">
            <w:pPr>
              <w:jc w:val="right"/>
              <w:rPr>
                <w:rFonts w:ascii="Arial" w:hAnsi="Arial" w:cs="Arial"/>
                <w:sz w:val="20"/>
                <w:szCs w:val="20"/>
              </w:rPr>
            </w:pPr>
          </w:p>
        </w:tc>
        <w:tc>
          <w:tcPr>
            <w:tcW w:w="0" w:type="auto"/>
            <w:vAlign w:val="center"/>
          </w:tcPr>
          <w:p w14:paraId="7EC0E46D" w14:textId="7DD5888A" w:rsidR="006A7B0D" w:rsidRPr="006A7B0D" w:rsidRDefault="006A7B0D" w:rsidP="006A7B0D">
            <w:pPr>
              <w:jc w:val="right"/>
              <w:rPr>
                <w:rFonts w:ascii="Arial" w:hAnsi="Arial" w:cs="Arial"/>
                <w:sz w:val="20"/>
                <w:szCs w:val="20"/>
              </w:rPr>
            </w:pPr>
          </w:p>
        </w:tc>
        <w:tc>
          <w:tcPr>
            <w:tcW w:w="0" w:type="auto"/>
            <w:vAlign w:val="center"/>
          </w:tcPr>
          <w:p w14:paraId="49082381" w14:textId="4043A31E" w:rsidR="006A7B0D" w:rsidRPr="006A7B0D" w:rsidRDefault="006A7B0D" w:rsidP="006A7B0D">
            <w:pPr>
              <w:jc w:val="right"/>
              <w:rPr>
                <w:rFonts w:ascii="Arial" w:hAnsi="Arial" w:cs="Arial"/>
                <w:sz w:val="20"/>
                <w:szCs w:val="20"/>
              </w:rPr>
            </w:pPr>
          </w:p>
        </w:tc>
        <w:tc>
          <w:tcPr>
            <w:tcW w:w="0" w:type="auto"/>
            <w:vAlign w:val="center"/>
          </w:tcPr>
          <w:p w14:paraId="5846FA15" w14:textId="7B8F3726" w:rsidR="006A7B0D" w:rsidRPr="006A7B0D" w:rsidRDefault="006A7B0D" w:rsidP="006A7B0D">
            <w:pPr>
              <w:jc w:val="right"/>
              <w:rPr>
                <w:rFonts w:ascii="Arial" w:hAnsi="Arial" w:cs="Arial"/>
                <w:sz w:val="20"/>
                <w:szCs w:val="20"/>
              </w:rPr>
            </w:pPr>
          </w:p>
        </w:tc>
      </w:tr>
      <w:tr w:rsidR="006A7B0D" w14:paraId="4EB943A3" w14:textId="77777777" w:rsidTr="006A7B0D">
        <w:tc>
          <w:tcPr>
            <w:tcW w:w="0" w:type="auto"/>
            <w:vAlign w:val="center"/>
          </w:tcPr>
          <w:p w14:paraId="0D314D77" w14:textId="77777777" w:rsidR="006A7B0D" w:rsidRPr="00312499" w:rsidRDefault="006A7B0D" w:rsidP="006A7B0D">
            <w:pPr>
              <w:keepNext/>
              <w:keepLines/>
              <w:rPr>
                <w:rFonts w:ascii="Arial" w:hAnsi="Arial" w:cs="Arial"/>
                <w:sz w:val="20"/>
                <w:szCs w:val="20"/>
              </w:rPr>
            </w:pPr>
            <w:r w:rsidRPr="00312499">
              <w:rPr>
                <w:rFonts w:ascii="Arial" w:hAnsi="Arial" w:cs="Arial"/>
                <w:sz w:val="20"/>
                <w:szCs w:val="20"/>
              </w:rPr>
              <w:t>Northern Coast</w:t>
            </w:r>
          </w:p>
        </w:tc>
        <w:tc>
          <w:tcPr>
            <w:tcW w:w="0" w:type="auto"/>
            <w:vAlign w:val="center"/>
          </w:tcPr>
          <w:p w14:paraId="37758F45" w14:textId="223BF81B" w:rsidR="006A7B0D" w:rsidRPr="006A7B0D" w:rsidRDefault="006A7B0D" w:rsidP="006A7B0D">
            <w:pPr>
              <w:jc w:val="right"/>
              <w:rPr>
                <w:rFonts w:ascii="Arial" w:hAnsi="Arial" w:cs="Arial"/>
                <w:sz w:val="20"/>
                <w:szCs w:val="20"/>
              </w:rPr>
            </w:pPr>
          </w:p>
        </w:tc>
        <w:tc>
          <w:tcPr>
            <w:tcW w:w="0" w:type="auto"/>
            <w:vAlign w:val="center"/>
          </w:tcPr>
          <w:p w14:paraId="34061705" w14:textId="2922419D" w:rsidR="006A7B0D" w:rsidRPr="006A7B0D" w:rsidRDefault="006A7B0D" w:rsidP="006A7B0D">
            <w:pPr>
              <w:jc w:val="right"/>
              <w:rPr>
                <w:rFonts w:ascii="Arial" w:hAnsi="Arial" w:cs="Arial"/>
                <w:sz w:val="20"/>
                <w:szCs w:val="20"/>
              </w:rPr>
            </w:pPr>
          </w:p>
        </w:tc>
        <w:tc>
          <w:tcPr>
            <w:tcW w:w="0" w:type="auto"/>
            <w:vAlign w:val="center"/>
          </w:tcPr>
          <w:p w14:paraId="68ADE332" w14:textId="41565C5D" w:rsidR="006A7B0D" w:rsidRPr="006A7B0D" w:rsidRDefault="006A7B0D" w:rsidP="006A7B0D">
            <w:pPr>
              <w:jc w:val="right"/>
              <w:rPr>
                <w:rFonts w:ascii="Arial" w:hAnsi="Arial" w:cs="Arial"/>
                <w:sz w:val="20"/>
                <w:szCs w:val="20"/>
              </w:rPr>
            </w:pPr>
          </w:p>
        </w:tc>
        <w:tc>
          <w:tcPr>
            <w:tcW w:w="0" w:type="auto"/>
            <w:vAlign w:val="center"/>
          </w:tcPr>
          <w:p w14:paraId="71F1E0D5" w14:textId="36DFC35B" w:rsidR="006A7B0D" w:rsidRPr="006A7B0D" w:rsidRDefault="006A7B0D" w:rsidP="006A7B0D">
            <w:pPr>
              <w:jc w:val="right"/>
              <w:rPr>
                <w:rFonts w:ascii="Arial" w:hAnsi="Arial" w:cs="Arial"/>
                <w:sz w:val="20"/>
                <w:szCs w:val="20"/>
              </w:rPr>
            </w:pPr>
          </w:p>
        </w:tc>
        <w:tc>
          <w:tcPr>
            <w:tcW w:w="0" w:type="auto"/>
            <w:vAlign w:val="center"/>
          </w:tcPr>
          <w:p w14:paraId="674B4C41" w14:textId="3BD35E91" w:rsidR="006A7B0D" w:rsidRPr="006A7B0D" w:rsidRDefault="006A7B0D" w:rsidP="006A7B0D">
            <w:pPr>
              <w:jc w:val="right"/>
              <w:rPr>
                <w:rFonts w:ascii="Arial" w:hAnsi="Arial" w:cs="Arial"/>
                <w:sz w:val="20"/>
                <w:szCs w:val="20"/>
              </w:rPr>
            </w:pPr>
          </w:p>
        </w:tc>
      </w:tr>
      <w:tr w:rsidR="006A7B0D" w14:paraId="193C1951" w14:textId="77777777" w:rsidTr="006A7B0D">
        <w:tc>
          <w:tcPr>
            <w:tcW w:w="0" w:type="auto"/>
            <w:vAlign w:val="center"/>
          </w:tcPr>
          <w:p w14:paraId="34649EE1" w14:textId="77777777" w:rsidR="006A7B0D" w:rsidRPr="00312499" w:rsidRDefault="006A7B0D" w:rsidP="006A7B0D">
            <w:pPr>
              <w:keepNext/>
              <w:keepLines/>
              <w:rPr>
                <w:rFonts w:ascii="Arial" w:hAnsi="Arial" w:cs="Arial"/>
                <w:sz w:val="20"/>
                <w:szCs w:val="20"/>
              </w:rPr>
            </w:pPr>
            <w:r w:rsidRPr="00312499">
              <w:rPr>
                <w:rFonts w:ascii="Arial" w:hAnsi="Arial" w:cs="Arial"/>
                <w:sz w:val="20"/>
                <w:szCs w:val="20"/>
              </w:rPr>
              <w:t>Not in any LCA</w:t>
            </w:r>
          </w:p>
        </w:tc>
        <w:tc>
          <w:tcPr>
            <w:tcW w:w="0" w:type="auto"/>
            <w:vAlign w:val="center"/>
          </w:tcPr>
          <w:p w14:paraId="132FEF57" w14:textId="5E7D5788" w:rsidR="006A7B0D" w:rsidRPr="006A7B0D" w:rsidRDefault="006A7B0D" w:rsidP="006A7B0D">
            <w:pPr>
              <w:jc w:val="right"/>
              <w:rPr>
                <w:rFonts w:ascii="Arial" w:hAnsi="Arial" w:cs="Arial"/>
                <w:sz w:val="20"/>
                <w:szCs w:val="20"/>
              </w:rPr>
            </w:pPr>
            <w:r w:rsidRPr="006A7B0D">
              <w:rPr>
                <w:rFonts w:ascii="Arial" w:hAnsi="Arial" w:cs="Arial"/>
                <w:sz w:val="20"/>
                <w:szCs w:val="20"/>
              </w:rPr>
              <w:t>95</w:t>
            </w:r>
          </w:p>
        </w:tc>
        <w:tc>
          <w:tcPr>
            <w:tcW w:w="0" w:type="auto"/>
            <w:vAlign w:val="center"/>
          </w:tcPr>
          <w:p w14:paraId="30FD88AA" w14:textId="0A3B21C8" w:rsidR="006A7B0D" w:rsidRPr="006A7B0D" w:rsidRDefault="006A7B0D" w:rsidP="006A7B0D">
            <w:pPr>
              <w:jc w:val="right"/>
              <w:rPr>
                <w:rFonts w:ascii="Arial" w:hAnsi="Arial" w:cs="Arial"/>
                <w:sz w:val="20"/>
                <w:szCs w:val="20"/>
              </w:rPr>
            </w:pPr>
            <w:r w:rsidRPr="006A7B0D">
              <w:rPr>
                <w:rFonts w:ascii="Arial" w:hAnsi="Arial" w:cs="Arial"/>
                <w:sz w:val="20"/>
                <w:szCs w:val="20"/>
              </w:rPr>
              <w:t>198.9</w:t>
            </w:r>
          </w:p>
        </w:tc>
        <w:tc>
          <w:tcPr>
            <w:tcW w:w="0" w:type="auto"/>
            <w:vAlign w:val="center"/>
          </w:tcPr>
          <w:p w14:paraId="0970B41C" w14:textId="20513317" w:rsidR="006A7B0D" w:rsidRPr="006A7B0D" w:rsidRDefault="006A7B0D" w:rsidP="006A7B0D">
            <w:pPr>
              <w:jc w:val="right"/>
              <w:rPr>
                <w:rFonts w:ascii="Arial" w:hAnsi="Arial" w:cs="Arial"/>
                <w:sz w:val="20"/>
                <w:szCs w:val="20"/>
              </w:rPr>
            </w:pPr>
            <w:r w:rsidRPr="006A7B0D">
              <w:rPr>
                <w:rFonts w:ascii="Arial" w:hAnsi="Arial" w:cs="Arial"/>
                <w:sz w:val="20"/>
                <w:szCs w:val="20"/>
              </w:rPr>
              <w:t>33.6</w:t>
            </w:r>
          </w:p>
        </w:tc>
        <w:tc>
          <w:tcPr>
            <w:tcW w:w="0" w:type="auto"/>
            <w:vAlign w:val="center"/>
          </w:tcPr>
          <w:p w14:paraId="43BA3B30" w14:textId="3973C510" w:rsidR="006A7B0D" w:rsidRPr="006A7B0D" w:rsidRDefault="006A7B0D" w:rsidP="006A7B0D">
            <w:pPr>
              <w:jc w:val="right"/>
              <w:rPr>
                <w:rFonts w:ascii="Arial" w:hAnsi="Arial" w:cs="Arial"/>
                <w:sz w:val="20"/>
                <w:szCs w:val="20"/>
              </w:rPr>
            </w:pPr>
            <w:r w:rsidRPr="006A7B0D">
              <w:rPr>
                <w:rFonts w:ascii="Arial" w:hAnsi="Arial" w:cs="Arial"/>
                <w:sz w:val="20"/>
                <w:szCs w:val="20"/>
              </w:rPr>
              <w:t>165.3</w:t>
            </w:r>
          </w:p>
        </w:tc>
        <w:tc>
          <w:tcPr>
            <w:tcW w:w="0" w:type="auto"/>
            <w:vAlign w:val="center"/>
          </w:tcPr>
          <w:p w14:paraId="5A7D6FEF" w14:textId="4140F546" w:rsidR="006A7B0D" w:rsidRPr="006A7B0D" w:rsidRDefault="006A7B0D" w:rsidP="006A7B0D">
            <w:pPr>
              <w:jc w:val="right"/>
              <w:rPr>
                <w:rFonts w:ascii="Arial" w:hAnsi="Arial" w:cs="Arial"/>
                <w:sz w:val="20"/>
                <w:szCs w:val="20"/>
              </w:rPr>
            </w:pPr>
            <w:r w:rsidRPr="006A7B0D">
              <w:rPr>
                <w:rFonts w:ascii="Arial" w:hAnsi="Arial" w:cs="Arial"/>
                <w:sz w:val="20"/>
                <w:szCs w:val="20"/>
              </w:rPr>
              <w:t>83.1%</w:t>
            </w:r>
          </w:p>
        </w:tc>
      </w:tr>
      <w:tr w:rsidR="006A7B0D" w14:paraId="214E6D12" w14:textId="77777777" w:rsidTr="006A7B0D">
        <w:tc>
          <w:tcPr>
            <w:tcW w:w="0" w:type="auto"/>
            <w:vAlign w:val="center"/>
          </w:tcPr>
          <w:p w14:paraId="31A3E4B6" w14:textId="77777777" w:rsidR="006A7B0D" w:rsidRPr="00312499" w:rsidRDefault="006A7B0D" w:rsidP="006A7B0D">
            <w:pPr>
              <w:keepNext/>
              <w:keepLines/>
              <w:rPr>
                <w:rFonts w:ascii="Arial" w:hAnsi="Arial" w:cs="Arial"/>
                <w:sz w:val="20"/>
                <w:szCs w:val="20"/>
              </w:rPr>
            </w:pPr>
            <w:r w:rsidRPr="00312499">
              <w:rPr>
                <w:rFonts w:ascii="Arial" w:hAnsi="Arial" w:cs="Arial"/>
                <w:sz w:val="20"/>
                <w:szCs w:val="20"/>
              </w:rPr>
              <w:t>Sierra</w:t>
            </w:r>
          </w:p>
        </w:tc>
        <w:tc>
          <w:tcPr>
            <w:tcW w:w="0" w:type="auto"/>
            <w:vAlign w:val="center"/>
          </w:tcPr>
          <w:p w14:paraId="7789DB01" w14:textId="44D45D95" w:rsidR="006A7B0D" w:rsidRPr="006A7B0D" w:rsidRDefault="006A7B0D" w:rsidP="006A7B0D">
            <w:pPr>
              <w:jc w:val="right"/>
              <w:rPr>
                <w:rFonts w:ascii="Arial" w:hAnsi="Arial" w:cs="Arial"/>
                <w:sz w:val="20"/>
                <w:szCs w:val="20"/>
              </w:rPr>
            </w:pPr>
          </w:p>
        </w:tc>
        <w:tc>
          <w:tcPr>
            <w:tcW w:w="0" w:type="auto"/>
            <w:vAlign w:val="center"/>
          </w:tcPr>
          <w:p w14:paraId="7EA39ABD" w14:textId="6412EB29" w:rsidR="006A7B0D" w:rsidRPr="006A7B0D" w:rsidRDefault="006A7B0D" w:rsidP="006A7B0D">
            <w:pPr>
              <w:jc w:val="right"/>
              <w:rPr>
                <w:rFonts w:ascii="Arial" w:hAnsi="Arial" w:cs="Arial"/>
                <w:sz w:val="20"/>
                <w:szCs w:val="20"/>
              </w:rPr>
            </w:pPr>
          </w:p>
        </w:tc>
        <w:tc>
          <w:tcPr>
            <w:tcW w:w="0" w:type="auto"/>
            <w:vAlign w:val="center"/>
          </w:tcPr>
          <w:p w14:paraId="65743BB8" w14:textId="215C115D" w:rsidR="006A7B0D" w:rsidRPr="006A7B0D" w:rsidRDefault="006A7B0D" w:rsidP="006A7B0D">
            <w:pPr>
              <w:jc w:val="right"/>
              <w:rPr>
                <w:rFonts w:ascii="Arial" w:hAnsi="Arial" w:cs="Arial"/>
                <w:sz w:val="20"/>
                <w:szCs w:val="20"/>
              </w:rPr>
            </w:pPr>
          </w:p>
        </w:tc>
        <w:tc>
          <w:tcPr>
            <w:tcW w:w="0" w:type="auto"/>
            <w:vAlign w:val="center"/>
          </w:tcPr>
          <w:p w14:paraId="3723F3CF" w14:textId="204F682C" w:rsidR="006A7B0D" w:rsidRPr="006A7B0D" w:rsidRDefault="006A7B0D" w:rsidP="006A7B0D">
            <w:pPr>
              <w:jc w:val="right"/>
              <w:rPr>
                <w:rFonts w:ascii="Arial" w:hAnsi="Arial" w:cs="Arial"/>
                <w:sz w:val="20"/>
                <w:szCs w:val="20"/>
              </w:rPr>
            </w:pPr>
          </w:p>
        </w:tc>
        <w:tc>
          <w:tcPr>
            <w:tcW w:w="0" w:type="auto"/>
            <w:vAlign w:val="center"/>
          </w:tcPr>
          <w:p w14:paraId="794D309A" w14:textId="71A9F601" w:rsidR="006A7B0D" w:rsidRPr="006A7B0D" w:rsidRDefault="006A7B0D" w:rsidP="006A7B0D">
            <w:pPr>
              <w:jc w:val="right"/>
              <w:rPr>
                <w:rFonts w:ascii="Arial" w:hAnsi="Arial" w:cs="Arial"/>
                <w:sz w:val="20"/>
                <w:szCs w:val="20"/>
              </w:rPr>
            </w:pPr>
          </w:p>
        </w:tc>
      </w:tr>
      <w:tr w:rsidR="006A7B0D" w14:paraId="2561725D" w14:textId="77777777" w:rsidTr="006A7B0D">
        <w:tc>
          <w:tcPr>
            <w:tcW w:w="0" w:type="auto"/>
            <w:vAlign w:val="center"/>
          </w:tcPr>
          <w:p w14:paraId="58BB1F62" w14:textId="77777777" w:rsidR="006A7B0D" w:rsidRPr="00312499" w:rsidRDefault="006A7B0D" w:rsidP="006A7B0D">
            <w:pPr>
              <w:keepNext/>
              <w:keepLines/>
              <w:rPr>
                <w:rFonts w:ascii="Arial" w:hAnsi="Arial" w:cs="Arial"/>
                <w:sz w:val="20"/>
                <w:szCs w:val="20"/>
              </w:rPr>
            </w:pPr>
            <w:smartTag w:uri="urn:schemas-microsoft-com:office:smarttags" w:element="place">
              <w:smartTag w:uri="urn:schemas-microsoft-com:office:smarttags" w:element="City">
                <w:r w:rsidRPr="00312499">
                  <w:rPr>
                    <w:rFonts w:ascii="Arial" w:hAnsi="Arial" w:cs="Arial"/>
                    <w:sz w:val="20"/>
                    <w:szCs w:val="20"/>
                  </w:rPr>
                  <w:t>Stockton</w:t>
                </w:r>
              </w:smartTag>
            </w:smartTag>
          </w:p>
        </w:tc>
        <w:tc>
          <w:tcPr>
            <w:tcW w:w="0" w:type="auto"/>
            <w:vAlign w:val="center"/>
          </w:tcPr>
          <w:p w14:paraId="1DAFD642" w14:textId="6BC8463C" w:rsidR="006A7B0D" w:rsidRPr="006A7B0D" w:rsidRDefault="006A7B0D" w:rsidP="006A7B0D">
            <w:pPr>
              <w:jc w:val="right"/>
              <w:rPr>
                <w:rFonts w:ascii="Arial" w:hAnsi="Arial" w:cs="Arial"/>
                <w:sz w:val="20"/>
                <w:szCs w:val="20"/>
              </w:rPr>
            </w:pPr>
          </w:p>
        </w:tc>
        <w:tc>
          <w:tcPr>
            <w:tcW w:w="0" w:type="auto"/>
            <w:vAlign w:val="center"/>
          </w:tcPr>
          <w:p w14:paraId="7DBB6BC7" w14:textId="6BA9CA71" w:rsidR="006A7B0D" w:rsidRPr="006A7B0D" w:rsidRDefault="006A7B0D" w:rsidP="006A7B0D">
            <w:pPr>
              <w:jc w:val="right"/>
              <w:rPr>
                <w:rFonts w:ascii="Arial" w:hAnsi="Arial" w:cs="Arial"/>
                <w:sz w:val="20"/>
                <w:szCs w:val="20"/>
              </w:rPr>
            </w:pPr>
          </w:p>
        </w:tc>
        <w:tc>
          <w:tcPr>
            <w:tcW w:w="0" w:type="auto"/>
            <w:vAlign w:val="center"/>
          </w:tcPr>
          <w:p w14:paraId="1A22AE47" w14:textId="22E94FDE" w:rsidR="006A7B0D" w:rsidRPr="006A7B0D" w:rsidRDefault="006A7B0D" w:rsidP="006A7B0D">
            <w:pPr>
              <w:jc w:val="right"/>
              <w:rPr>
                <w:rFonts w:ascii="Arial" w:hAnsi="Arial" w:cs="Arial"/>
                <w:sz w:val="20"/>
                <w:szCs w:val="20"/>
              </w:rPr>
            </w:pPr>
          </w:p>
        </w:tc>
        <w:tc>
          <w:tcPr>
            <w:tcW w:w="0" w:type="auto"/>
            <w:vAlign w:val="center"/>
          </w:tcPr>
          <w:p w14:paraId="3F848C5F" w14:textId="687D1DB3" w:rsidR="006A7B0D" w:rsidRPr="006A7B0D" w:rsidRDefault="006A7B0D" w:rsidP="006A7B0D">
            <w:pPr>
              <w:jc w:val="right"/>
              <w:rPr>
                <w:rFonts w:ascii="Arial" w:hAnsi="Arial" w:cs="Arial"/>
                <w:sz w:val="20"/>
                <w:szCs w:val="20"/>
              </w:rPr>
            </w:pPr>
          </w:p>
        </w:tc>
        <w:tc>
          <w:tcPr>
            <w:tcW w:w="0" w:type="auto"/>
            <w:vAlign w:val="center"/>
          </w:tcPr>
          <w:p w14:paraId="5B09E34A" w14:textId="2217073B" w:rsidR="006A7B0D" w:rsidRPr="006A7B0D" w:rsidRDefault="006A7B0D" w:rsidP="006A7B0D">
            <w:pPr>
              <w:jc w:val="right"/>
              <w:rPr>
                <w:rFonts w:ascii="Arial" w:hAnsi="Arial" w:cs="Arial"/>
                <w:sz w:val="20"/>
                <w:szCs w:val="20"/>
              </w:rPr>
            </w:pPr>
          </w:p>
        </w:tc>
      </w:tr>
      <w:tr w:rsidR="006A7B0D" w14:paraId="1A21B1AA" w14:textId="77777777" w:rsidTr="006A7B0D">
        <w:tc>
          <w:tcPr>
            <w:tcW w:w="0" w:type="auto"/>
            <w:vAlign w:val="center"/>
          </w:tcPr>
          <w:p w14:paraId="266D2384" w14:textId="77777777" w:rsidR="006A7B0D" w:rsidRPr="00312499" w:rsidRDefault="006A7B0D" w:rsidP="006A7B0D">
            <w:pPr>
              <w:keepNext/>
              <w:keepLines/>
              <w:rPr>
                <w:rFonts w:ascii="Arial" w:hAnsi="Arial" w:cs="Arial"/>
                <w:b/>
                <w:sz w:val="20"/>
                <w:szCs w:val="20"/>
              </w:rPr>
            </w:pPr>
            <w:r w:rsidRPr="00312499">
              <w:rPr>
                <w:rFonts w:ascii="Arial" w:hAnsi="Arial" w:cs="Arial"/>
                <w:b/>
                <w:sz w:val="20"/>
                <w:szCs w:val="20"/>
              </w:rPr>
              <w:t>Total</w:t>
            </w:r>
          </w:p>
        </w:tc>
        <w:tc>
          <w:tcPr>
            <w:tcW w:w="0" w:type="auto"/>
            <w:vAlign w:val="center"/>
          </w:tcPr>
          <w:p w14:paraId="43F84E9A" w14:textId="46B1EB1F" w:rsidR="006A7B0D" w:rsidRPr="006A7B0D" w:rsidRDefault="006A7B0D" w:rsidP="006A7B0D">
            <w:pPr>
              <w:jc w:val="right"/>
              <w:rPr>
                <w:rFonts w:ascii="Arial" w:hAnsi="Arial" w:cs="Arial"/>
                <w:b/>
                <w:sz w:val="20"/>
                <w:szCs w:val="20"/>
              </w:rPr>
            </w:pPr>
            <w:r w:rsidRPr="006A7B0D">
              <w:rPr>
                <w:rFonts w:ascii="Arial" w:hAnsi="Arial" w:cs="Arial"/>
                <w:b/>
                <w:sz w:val="20"/>
                <w:szCs w:val="20"/>
              </w:rPr>
              <w:t>218</w:t>
            </w:r>
          </w:p>
        </w:tc>
        <w:tc>
          <w:tcPr>
            <w:tcW w:w="0" w:type="auto"/>
            <w:vAlign w:val="center"/>
          </w:tcPr>
          <w:p w14:paraId="27EC4702" w14:textId="3A53DEAB" w:rsidR="006A7B0D" w:rsidRPr="006A7B0D" w:rsidRDefault="006A7B0D" w:rsidP="006A7B0D">
            <w:pPr>
              <w:jc w:val="right"/>
              <w:rPr>
                <w:rFonts w:ascii="Arial" w:hAnsi="Arial" w:cs="Arial"/>
                <w:b/>
                <w:sz w:val="20"/>
                <w:szCs w:val="20"/>
              </w:rPr>
            </w:pPr>
            <w:r w:rsidRPr="006A7B0D">
              <w:rPr>
                <w:rFonts w:ascii="Arial" w:hAnsi="Arial" w:cs="Arial"/>
                <w:b/>
                <w:sz w:val="20"/>
                <w:szCs w:val="20"/>
              </w:rPr>
              <w:t>285.8</w:t>
            </w:r>
          </w:p>
        </w:tc>
        <w:tc>
          <w:tcPr>
            <w:tcW w:w="0" w:type="auto"/>
            <w:vAlign w:val="center"/>
          </w:tcPr>
          <w:p w14:paraId="2E6CE222" w14:textId="08791FAE" w:rsidR="006A7B0D" w:rsidRPr="006A7B0D" w:rsidRDefault="006A7B0D" w:rsidP="006A7B0D">
            <w:pPr>
              <w:jc w:val="right"/>
              <w:rPr>
                <w:rFonts w:ascii="Arial" w:hAnsi="Arial" w:cs="Arial"/>
                <w:b/>
                <w:sz w:val="20"/>
                <w:szCs w:val="20"/>
              </w:rPr>
            </w:pPr>
            <w:r w:rsidRPr="006A7B0D">
              <w:rPr>
                <w:rFonts w:ascii="Arial" w:hAnsi="Arial" w:cs="Arial"/>
                <w:b/>
                <w:sz w:val="20"/>
                <w:szCs w:val="20"/>
              </w:rPr>
              <w:t>57.6</w:t>
            </w:r>
          </w:p>
        </w:tc>
        <w:tc>
          <w:tcPr>
            <w:tcW w:w="0" w:type="auto"/>
            <w:vAlign w:val="center"/>
          </w:tcPr>
          <w:p w14:paraId="222BF3FE" w14:textId="6C168832" w:rsidR="006A7B0D" w:rsidRPr="006A7B0D" w:rsidRDefault="006A7B0D" w:rsidP="006A7B0D">
            <w:pPr>
              <w:jc w:val="right"/>
              <w:rPr>
                <w:rFonts w:ascii="Arial" w:hAnsi="Arial" w:cs="Arial"/>
                <w:b/>
                <w:sz w:val="20"/>
                <w:szCs w:val="20"/>
              </w:rPr>
            </w:pPr>
            <w:r w:rsidRPr="006A7B0D">
              <w:rPr>
                <w:rFonts w:ascii="Arial" w:hAnsi="Arial" w:cs="Arial"/>
                <w:b/>
                <w:sz w:val="20"/>
                <w:szCs w:val="20"/>
              </w:rPr>
              <w:t>228.2</w:t>
            </w:r>
          </w:p>
        </w:tc>
        <w:tc>
          <w:tcPr>
            <w:tcW w:w="0" w:type="auto"/>
            <w:vAlign w:val="center"/>
          </w:tcPr>
          <w:p w14:paraId="0B3C0F40" w14:textId="72095089" w:rsidR="006A7B0D" w:rsidRPr="006A7B0D" w:rsidRDefault="006A7B0D" w:rsidP="006A7B0D">
            <w:pPr>
              <w:jc w:val="right"/>
              <w:rPr>
                <w:rFonts w:ascii="Arial" w:hAnsi="Arial" w:cs="Arial"/>
                <w:b/>
                <w:sz w:val="20"/>
                <w:szCs w:val="20"/>
              </w:rPr>
            </w:pPr>
            <w:r w:rsidRPr="006A7B0D">
              <w:rPr>
                <w:rFonts w:ascii="Arial" w:hAnsi="Arial" w:cs="Arial"/>
                <w:b/>
                <w:sz w:val="20"/>
                <w:szCs w:val="20"/>
              </w:rPr>
              <w:t>79.8%</w:t>
            </w:r>
          </w:p>
        </w:tc>
      </w:tr>
    </w:tbl>
    <w:p w14:paraId="19A98F11" w14:textId="77777777" w:rsidR="00321E09" w:rsidRDefault="00321E09" w:rsidP="00DB7F02">
      <w:pPr>
        <w:rPr>
          <w:b/>
        </w:rPr>
      </w:pPr>
    </w:p>
    <w:p w14:paraId="18E23D85" w14:textId="77777777" w:rsidR="00321E09" w:rsidRPr="00146E50" w:rsidRDefault="00321E09" w:rsidP="00146E50">
      <w:pPr>
        <w:pStyle w:val="Heading3"/>
        <w:rPr>
          <w:sz w:val="22"/>
          <w:szCs w:val="22"/>
        </w:rPr>
      </w:pPr>
      <w:bookmarkStart w:id="68" w:name="_Toc415488957"/>
      <w:r>
        <w:rPr>
          <w:sz w:val="22"/>
          <w:szCs w:val="22"/>
        </w:rPr>
        <w:t xml:space="preserve">4.1.2 </w:t>
      </w:r>
      <w:r w:rsidRPr="00146E50">
        <w:rPr>
          <w:sz w:val="22"/>
          <w:szCs w:val="22"/>
        </w:rPr>
        <w:t>Hourly Load Impacts</w:t>
      </w:r>
      <w:bookmarkEnd w:id="68"/>
      <w:r w:rsidRPr="00146E50">
        <w:rPr>
          <w:sz w:val="22"/>
          <w:szCs w:val="22"/>
        </w:rPr>
        <w:t xml:space="preserve"> </w:t>
      </w:r>
    </w:p>
    <w:p w14:paraId="3A5ECF97" w14:textId="5C83DBE3" w:rsidR="00321E09" w:rsidRDefault="00321E09" w:rsidP="00146E50">
      <w:r>
        <w:t>Table 4.</w:t>
      </w:r>
      <w:r w:rsidR="00F02657">
        <w:t>5</w:t>
      </w:r>
      <w:r>
        <w:t xml:space="preserve"> presents hourly PG&amp;E B</w:t>
      </w:r>
      <w:r w:rsidR="00972362">
        <w:t>I</w:t>
      </w:r>
      <w:r>
        <w:t xml:space="preserve">P load impacts at the program level in the manner required by the Protocols. </w:t>
      </w:r>
      <w:bookmarkStart w:id="69" w:name="OLE_LINK6"/>
      <w:bookmarkStart w:id="70" w:name="OLE_LINK7"/>
      <w:r>
        <w:t>B</w:t>
      </w:r>
      <w:r w:rsidR="00972362">
        <w:t>I</w:t>
      </w:r>
      <w:r>
        <w:t xml:space="preserve">P load impacts were estimated from the individual customer regressions </w:t>
      </w:r>
      <w:r w:rsidR="00F02657">
        <w:t xml:space="preserve">for </w:t>
      </w:r>
      <w:r>
        <w:t xml:space="preserve">customers </w:t>
      </w:r>
      <w:r w:rsidR="00F02657">
        <w:t xml:space="preserve">enrolled at the time of </w:t>
      </w:r>
      <w:r w:rsidR="0070662B">
        <w:t>the</w:t>
      </w:r>
      <w:r w:rsidR="00F02657">
        <w:t xml:space="preserve"> event</w:t>
      </w:r>
      <w:r>
        <w:t>.</w:t>
      </w:r>
      <w:r w:rsidR="00AA1F13">
        <w:t xml:space="preserve"> </w:t>
      </w:r>
      <w:r w:rsidR="00972362">
        <w:t>Because of variation across event days (in terms of service a</w:t>
      </w:r>
      <w:r w:rsidR="00383F6F">
        <w:t>greement</w:t>
      </w:r>
      <w:r w:rsidR="00972362">
        <w:t>s and hours called), the table only reflects the September 11, 2014 event day.</w:t>
      </w:r>
      <w:r w:rsidR="00186DFA">
        <w:rPr>
          <w:rStyle w:val="FootnoteReference"/>
        </w:rPr>
        <w:footnoteReference w:id="8"/>
      </w:r>
      <w:r w:rsidR="00972362">
        <w:t xml:space="preserve"> </w:t>
      </w:r>
      <w:bookmarkEnd w:id="69"/>
      <w:bookmarkEnd w:id="70"/>
    </w:p>
    <w:p w14:paraId="7C091E42" w14:textId="58EE81C2" w:rsidR="00321E09" w:rsidRDefault="00321E09" w:rsidP="00146E50"/>
    <w:p w14:paraId="04DAD68C" w14:textId="77777777" w:rsidR="00321E09" w:rsidRDefault="00321E09" w:rsidP="00082E39"/>
    <w:p w14:paraId="5A65630B" w14:textId="487F314F" w:rsidR="00321E09" w:rsidRPr="00852320" w:rsidRDefault="00321E09" w:rsidP="0093144C">
      <w:pPr>
        <w:pStyle w:val="TableCaption"/>
        <w:keepNext/>
        <w:keepLines/>
      </w:pPr>
      <w:bookmarkStart w:id="71" w:name="_Toc415489012"/>
      <w:r w:rsidRPr="00852320">
        <w:lastRenderedPageBreak/>
        <w:t>Table 4.</w:t>
      </w:r>
      <w:r w:rsidR="00F02657" w:rsidRPr="00852320">
        <w:t>5</w:t>
      </w:r>
      <w:r w:rsidRPr="00852320">
        <w:t>: B</w:t>
      </w:r>
      <w:r w:rsidR="00972362">
        <w:t>I</w:t>
      </w:r>
      <w:r w:rsidRPr="00852320">
        <w:t xml:space="preserve">P Hourly Load Impacts for </w:t>
      </w:r>
      <w:r w:rsidR="000C3E81" w:rsidRPr="00852320">
        <w:t xml:space="preserve">the </w:t>
      </w:r>
      <w:r w:rsidR="00972362">
        <w:t>September 11, 2014</w:t>
      </w:r>
      <w:r w:rsidRPr="00852320">
        <w:t xml:space="preserve"> Event Day</w:t>
      </w:r>
      <w:r w:rsidR="00E32794" w:rsidRPr="00852320">
        <w:t xml:space="preserve">, </w:t>
      </w:r>
      <w:r w:rsidRPr="00852320">
        <w:rPr>
          <w:i/>
        </w:rPr>
        <w:t>PG&amp;E</w:t>
      </w:r>
      <w:bookmarkEnd w:id="71"/>
    </w:p>
    <w:p w14:paraId="7E9580F2" w14:textId="4EF0770E" w:rsidR="00321E09" w:rsidRPr="0093144C" w:rsidRDefault="00A94317" w:rsidP="00EF7463">
      <w:pPr>
        <w:keepNext/>
        <w:keepLines/>
        <w:widowControl w:val="0"/>
      </w:pPr>
      <w:r w:rsidRPr="00A94317">
        <w:rPr>
          <w:noProof/>
        </w:rPr>
        <w:drawing>
          <wp:inline distT="0" distB="0" distL="0" distR="0" wp14:anchorId="5F3483F2" wp14:editId="722CF144">
            <wp:extent cx="5486400" cy="451509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4515095"/>
                    </a:xfrm>
                    <a:prstGeom prst="rect">
                      <a:avLst/>
                    </a:prstGeom>
                    <a:noFill/>
                    <a:ln>
                      <a:noFill/>
                    </a:ln>
                  </pic:spPr>
                </pic:pic>
              </a:graphicData>
            </a:graphic>
          </wp:inline>
        </w:drawing>
      </w:r>
    </w:p>
    <w:p w14:paraId="4880CFF4" w14:textId="77777777" w:rsidR="00321E09" w:rsidRDefault="00321E09" w:rsidP="00082E39"/>
    <w:p w14:paraId="10B6B037" w14:textId="703AD550" w:rsidR="00321E09" w:rsidRDefault="00321E09" w:rsidP="003D3D4C">
      <w:r>
        <w:t xml:space="preserve">Figure 4.1 illustrates the </w:t>
      </w:r>
      <w:r w:rsidR="00265B5B">
        <w:t xml:space="preserve">hourly </w:t>
      </w:r>
      <w:r>
        <w:t>reference load</w:t>
      </w:r>
      <w:r w:rsidR="00265B5B">
        <w:t xml:space="preserve">, </w:t>
      </w:r>
      <w:r>
        <w:t>observed load</w:t>
      </w:r>
      <w:r w:rsidR="00265B5B">
        <w:t>, and load impacts</w:t>
      </w:r>
      <w:r>
        <w:t xml:space="preserve"> for the </w:t>
      </w:r>
      <w:r w:rsidR="00460119">
        <w:t>September 11</w:t>
      </w:r>
      <w:r w:rsidR="00460119" w:rsidRPr="00460119">
        <w:rPr>
          <w:vertAlign w:val="superscript"/>
        </w:rPr>
        <w:t>th</w:t>
      </w:r>
      <w:r w:rsidR="00460119">
        <w:t xml:space="preserve"> </w:t>
      </w:r>
      <w:r>
        <w:t>event</w:t>
      </w:r>
      <w:r w:rsidR="00265B5B">
        <w:t xml:space="preserve"> day</w:t>
      </w:r>
      <w:r w:rsidR="00460119">
        <w:t xml:space="preserve">. </w:t>
      </w:r>
      <w:r w:rsidR="00421519">
        <w:t xml:space="preserve">The scale for the hourly load impacts is shown on the right-hand side of the figure. </w:t>
      </w:r>
      <w:r w:rsidR="00C23BD6">
        <w:t xml:space="preserve">Figure 4.2 shows the variability of estimated load impacts across </w:t>
      </w:r>
      <w:r w:rsidR="00265B5B">
        <w:t>the</w:t>
      </w:r>
      <w:r w:rsidR="00460119">
        <w:t xml:space="preserve"> four </w:t>
      </w:r>
      <w:r w:rsidR="00C23BD6">
        <w:t>event</w:t>
      </w:r>
      <w:r w:rsidR="00265B5B">
        <w:t xml:space="preserve"> day</w:t>
      </w:r>
      <w:r w:rsidR="00C23BD6">
        <w:t xml:space="preserve">s. </w:t>
      </w:r>
    </w:p>
    <w:p w14:paraId="4B92E906" w14:textId="77777777" w:rsidR="00321E09" w:rsidRDefault="00321E09" w:rsidP="003D3D4C"/>
    <w:p w14:paraId="5E026A1D" w14:textId="77777777" w:rsidR="00321E09" w:rsidRDefault="00321E09" w:rsidP="003D3D4C">
      <w:r>
        <w:t>The full set of tables required by the Protocols, including tables for each local capacity area, are in the Excel file attached as an Appendix to this report.</w:t>
      </w:r>
    </w:p>
    <w:p w14:paraId="1DADB9B2" w14:textId="77777777" w:rsidR="000F5952" w:rsidRDefault="000F5952" w:rsidP="003D3D4C"/>
    <w:p w14:paraId="2CB9AF5E" w14:textId="419CFE5B" w:rsidR="00321E09" w:rsidRPr="0097115E" w:rsidRDefault="00460119" w:rsidP="00B91726">
      <w:pPr>
        <w:pStyle w:val="FigureCaption"/>
        <w:keepNext/>
        <w:keepLines/>
      </w:pPr>
      <w:bookmarkStart w:id="72" w:name="_Toc415489052"/>
      <w:r>
        <w:lastRenderedPageBreak/>
        <w:t xml:space="preserve">Figure 4.1: </w:t>
      </w:r>
      <w:r w:rsidR="00321E09" w:rsidRPr="0097115E">
        <w:t>B</w:t>
      </w:r>
      <w:r>
        <w:t>I</w:t>
      </w:r>
      <w:r w:rsidR="00321E09" w:rsidRPr="0097115E">
        <w:t>P Load Impacts</w:t>
      </w:r>
      <w:r w:rsidR="003A3AC6">
        <w:t xml:space="preserve"> for the </w:t>
      </w:r>
      <w:r>
        <w:t>September 11, 2014</w:t>
      </w:r>
      <w:r w:rsidR="003A3AC6">
        <w:t xml:space="preserve"> Event Day</w:t>
      </w:r>
      <w:r w:rsidR="00E32794" w:rsidRPr="0097115E">
        <w:t xml:space="preserve">, </w:t>
      </w:r>
      <w:r w:rsidR="00321E09" w:rsidRPr="0097115E">
        <w:rPr>
          <w:i/>
        </w:rPr>
        <w:t>PG&amp;E</w:t>
      </w:r>
      <w:bookmarkEnd w:id="72"/>
    </w:p>
    <w:p w14:paraId="6A896A7C" w14:textId="6F740BFD" w:rsidR="00321E09" w:rsidRPr="0093144C" w:rsidRDefault="00A879F1" w:rsidP="00B91726">
      <w:pPr>
        <w:keepNext/>
        <w:keepLines/>
        <w:jc w:val="center"/>
      </w:pPr>
      <w:r>
        <w:rPr>
          <w:noProof/>
        </w:rPr>
        <w:drawing>
          <wp:inline distT="0" distB="0" distL="0" distR="0" wp14:anchorId="51FCEB23" wp14:editId="5AFEA1D8">
            <wp:extent cx="5486400" cy="3979545"/>
            <wp:effectExtent l="0" t="0" r="0" b="19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4C6FFDF" w14:textId="77777777" w:rsidR="000F5952" w:rsidRDefault="000F5952" w:rsidP="000F5952">
      <w:pPr>
        <w:pStyle w:val="FigureCaption"/>
      </w:pPr>
    </w:p>
    <w:p w14:paraId="5152EC45" w14:textId="4DF1BAE5" w:rsidR="00C23BD6" w:rsidRPr="0097115E" w:rsidRDefault="00C23BD6" w:rsidP="0097115E">
      <w:pPr>
        <w:pStyle w:val="FigureCaption"/>
        <w:keepNext/>
        <w:keepLines/>
      </w:pPr>
      <w:bookmarkStart w:id="73" w:name="_Toc415489053"/>
      <w:r w:rsidRPr="0097115E">
        <w:lastRenderedPageBreak/>
        <w:t>Figure 4.2: Hourly Load Impacts by Event</w:t>
      </w:r>
      <w:r w:rsidR="00E32794" w:rsidRPr="0097115E">
        <w:t xml:space="preserve">, </w:t>
      </w:r>
      <w:r w:rsidRPr="0097115E">
        <w:rPr>
          <w:i/>
        </w:rPr>
        <w:t>PG&amp;E B</w:t>
      </w:r>
      <w:r w:rsidR="00460119">
        <w:rPr>
          <w:i/>
        </w:rPr>
        <w:t>I</w:t>
      </w:r>
      <w:r w:rsidRPr="0097115E">
        <w:rPr>
          <w:i/>
        </w:rPr>
        <w:t>P</w:t>
      </w:r>
      <w:bookmarkEnd w:id="73"/>
    </w:p>
    <w:p w14:paraId="753F003C" w14:textId="5A36AC65" w:rsidR="00C23BD6" w:rsidRPr="00B846C5" w:rsidRDefault="00A94317" w:rsidP="0097115E">
      <w:pPr>
        <w:keepNext/>
        <w:keepLines/>
        <w:jc w:val="center"/>
      </w:pPr>
      <w:r>
        <w:rPr>
          <w:noProof/>
        </w:rPr>
        <w:drawing>
          <wp:inline distT="0" distB="0" distL="0" distR="0" wp14:anchorId="7E809633" wp14:editId="4C078A57">
            <wp:extent cx="5486400" cy="398145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CF8F097" w14:textId="77777777" w:rsidR="00321E09" w:rsidRPr="008943AD" w:rsidRDefault="00E32794" w:rsidP="008943AD">
      <w:pPr>
        <w:pStyle w:val="Heading2"/>
      </w:pPr>
      <w:r>
        <w:br w:type="page"/>
      </w:r>
      <w:bookmarkStart w:id="74" w:name="_Toc415488958"/>
      <w:r w:rsidR="00321E09" w:rsidRPr="00423754">
        <w:lastRenderedPageBreak/>
        <w:t>4.2 SCE Load Impacts</w:t>
      </w:r>
      <w:bookmarkEnd w:id="74"/>
    </w:p>
    <w:p w14:paraId="45328ED2" w14:textId="77777777" w:rsidR="00321E09" w:rsidRPr="00146E50" w:rsidRDefault="00321E09" w:rsidP="00BB7A34">
      <w:pPr>
        <w:pStyle w:val="Heading3"/>
        <w:rPr>
          <w:sz w:val="22"/>
          <w:szCs w:val="22"/>
        </w:rPr>
      </w:pPr>
      <w:bookmarkStart w:id="75" w:name="_Toc415488959"/>
      <w:r>
        <w:rPr>
          <w:sz w:val="22"/>
          <w:szCs w:val="22"/>
        </w:rPr>
        <w:t xml:space="preserve">4.2.1 </w:t>
      </w:r>
      <w:r w:rsidRPr="00146E50">
        <w:rPr>
          <w:sz w:val="22"/>
          <w:szCs w:val="22"/>
        </w:rPr>
        <w:t>Average Hourly Load Impacts by Industry Group and LCA</w:t>
      </w:r>
      <w:bookmarkEnd w:id="75"/>
    </w:p>
    <w:p w14:paraId="3F9DF072" w14:textId="1DBDD41F" w:rsidR="00321E09" w:rsidRDefault="001D1814" w:rsidP="00C70F01">
      <w:r>
        <w:t xml:space="preserve">SCE’s only BIP event day was February 6, 2014. Table 4.6 shows the average event-hour load impact for that event day by industry group. The total row at the bottom of the table shows the total event-day load impact of </w:t>
      </w:r>
      <w:r w:rsidR="008E0538">
        <w:t>624</w:t>
      </w:r>
      <w:r>
        <w:t xml:space="preserve"> MW, or 83 percent of the reference load. The majority of the program’s load impact came from customers in the manufacturing industry group.</w:t>
      </w:r>
      <w:r w:rsidR="00A94317">
        <w:t xml:space="preserve"> Note that portions of the table have been removed due to confidentiality concerns.</w:t>
      </w:r>
    </w:p>
    <w:p w14:paraId="291E1D4F" w14:textId="77777777" w:rsidR="00321E09" w:rsidRDefault="00321E09" w:rsidP="00C70F01"/>
    <w:p w14:paraId="12300B68" w14:textId="4C631651" w:rsidR="00366340" w:rsidRPr="00852320" w:rsidRDefault="00366340" w:rsidP="00366340">
      <w:pPr>
        <w:pStyle w:val="TableCaption"/>
        <w:keepNext/>
        <w:keepLines/>
      </w:pPr>
      <w:bookmarkStart w:id="76" w:name="_Toc415489013"/>
      <w:r w:rsidRPr="00852320">
        <w:t>Table 4.</w:t>
      </w:r>
      <w:r w:rsidR="001D1814">
        <w:t>6</w:t>
      </w:r>
      <w:r w:rsidRPr="00852320">
        <w:t xml:space="preserve">: Average </w:t>
      </w:r>
      <w:r>
        <w:t xml:space="preserve">Event-day Hourly Load Impacts – SCE </w:t>
      </w:r>
      <w:r w:rsidRPr="00852320">
        <w:t>B</w:t>
      </w:r>
      <w:r>
        <w:t>I</w:t>
      </w:r>
      <w:r w:rsidRPr="00852320">
        <w:t xml:space="preserve">P, </w:t>
      </w:r>
      <w:r w:rsidRPr="00852320">
        <w:rPr>
          <w:i/>
        </w:rPr>
        <w:t>by Industry Group</w:t>
      </w:r>
      <w:bookmarkEnd w:id="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1372"/>
        <w:gridCol w:w="1617"/>
        <w:gridCol w:w="1363"/>
        <w:gridCol w:w="1586"/>
        <w:gridCol w:w="828"/>
      </w:tblGrid>
      <w:tr w:rsidR="00366340" w14:paraId="0576ECA8" w14:textId="77777777" w:rsidTr="00A34732">
        <w:trPr>
          <w:jc w:val="center"/>
        </w:trPr>
        <w:tc>
          <w:tcPr>
            <w:tcW w:w="0" w:type="auto"/>
            <w:shd w:val="clear" w:color="auto" w:fill="D9E2F3"/>
            <w:vAlign w:val="center"/>
          </w:tcPr>
          <w:p w14:paraId="58324363" w14:textId="77777777" w:rsidR="00366340" w:rsidRPr="007E0A27" w:rsidRDefault="00366340" w:rsidP="00A34732">
            <w:pPr>
              <w:keepNext/>
              <w:keepLines/>
              <w:jc w:val="center"/>
              <w:rPr>
                <w:rFonts w:ascii="Arial" w:hAnsi="Arial" w:cs="Arial"/>
                <w:b/>
                <w:sz w:val="20"/>
                <w:szCs w:val="20"/>
              </w:rPr>
            </w:pPr>
            <w:r w:rsidRPr="007E0A27">
              <w:rPr>
                <w:rFonts w:ascii="Arial" w:hAnsi="Arial" w:cs="Arial"/>
                <w:b/>
                <w:sz w:val="20"/>
                <w:szCs w:val="20"/>
              </w:rPr>
              <w:t>Industry Group</w:t>
            </w:r>
          </w:p>
        </w:tc>
        <w:tc>
          <w:tcPr>
            <w:tcW w:w="0" w:type="auto"/>
            <w:shd w:val="clear" w:color="auto" w:fill="D9E2F3"/>
            <w:vAlign w:val="center"/>
          </w:tcPr>
          <w:p w14:paraId="1B50060F" w14:textId="77777777" w:rsidR="00366340" w:rsidRPr="007E0A27" w:rsidRDefault="00366340" w:rsidP="00A34732">
            <w:pPr>
              <w:keepNext/>
              <w:keepLines/>
              <w:jc w:val="center"/>
              <w:rPr>
                <w:rFonts w:ascii="Arial" w:hAnsi="Arial" w:cs="Arial"/>
                <w:b/>
                <w:sz w:val="20"/>
                <w:szCs w:val="20"/>
              </w:rPr>
            </w:pPr>
            <w:r>
              <w:rPr>
                <w:rFonts w:ascii="Arial" w:hAnsi="Arial" w:cs="Arial"/>
                <w:b/>
                <w:sz w:val="20"/>
                <w:szCs w:val="20"/>
              </w:rPr>
              <w:t># of Service Accounts</w:t>
            </w:r>
          </w:p>
        </w:tc>
        <w:tc>
          <w:tcPr>
            <w:tcW w:w="0" w:type="auto"/>
            <w:shd w:val="clear" w:color="auto" w:fill="D9E2F3"/>
            <w:vAlign w:val="center"/>
          </w:tcPr>
          <w:p w14:paraId="68051FCD" w14:textId="77777777" w:rsidR="00366340" w:rsidRPr="007E0A27" w:rsidRDefault="00366340" w:rsidP="00A34732">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0" w:type="auto"/>
            <w:shd w:val="clear" w:color="auto" w:fill="D9E2F3"/>
            <w:vAlign w:val="center"/>
          </w:tcPr>
          <w:p w14:paraId="27A1D7B6" w14:textId="77777777" w:rsidR="00366340" w:rsidRPr="007E0A27" w:rsidRDefault="00366340" w:rsidP="00A34732">
            <w:pPr>
              <w:keepNext/>
              <w:keepLines/>
              <w:jc w:val="center"/>
              <w:rPr>
                <w:rFonts w:ascii="Arial" w:hAnsi="Arial" w:cs="Arial"/>
                <w:b/>
                <w:sz w:val="20"/>
                <w:szCs w:val="20"/>
              </w:rPr>
            </w:pPr>
            <w:r w:rsidRPr="007E0A27">
              <w:rPr>
                <w:rFonts w:ascii="Arial" w:hAnsi="Arial" w:cs="Arial"/>
                <w:b/>
                <w:sz w:val="20"/>
                <w:szCs w:val="20"/>
              </w:rPr>
              <w:t>Observed Load (MW)</w:t>
            </w:r>
          </w:p>
        </w:tc>
        <w:tc>
          <w:tcPr>
            <w:tcW w:w="1586" w:type="dxa"/>
            <w:shd w:val="clear" w:color="auto" w:fill="D9E2F3"/>
            <w:vAlign w:val="center"/>
          </w:tcPr>
          <w:p w14:paraId="06DD2B9A" w14:textId="77777777" w:rsidR="00366340" w:rsidRPr="007E0A27" w:rsidRDefault="00366340" w:rsidP="00A34732">
            <w:pPr>
              <w:keepNext/>
              <w:keepLines/>
              <w:jc w:val="center"/>
              <w:rPr>
                <w:rFonts w:ascii="Arial" w:hAnsi="Arial" w:cs="Arial"/>
                <w:b/>
                <w:sz w:val="20"/>
                <w:szCs w:val="20"/>
              </w:rPr>
            </w:pPr>
            <w:r w:rsidRPr="007E0A27">
              <w:rPr>
                <w:rFonts w:ascii="Arial" w:hAnsi="Arial" w:cs="Arial"/>
                <w:b/>
                <w:sz w:val="20"/>
                <w:szCs w:val="20"/>
              </w:rPr>
              <w:t>Estimated Load Impact (MW)</w:t>
            </w:r>
          </w:p>
        </w:tc>
        <w:tc>
          <w:tcPr>
            <w:tcW w:w="828" w:type="dxa"/>
            <w:shd w:val="clear" w:color="auto" w:fill="D9E2F3"/>
            <w:vAlign w:val="center"/>
          </w:tcPr>
          <w:p w14:paraId="6DDE552F" w14:textId="77777777" w:rsidR="00366340" w:rsidRPr="007E0A27" w:rsidRDefault="00366340" w:rsidP="00A34732">
            <w:pPr>
              <w:keepNext/>
              <w:keepLines/>
              <w:jc w:val="center"/>
              <w:rPr>
                <w:rFonts w:ascii="Arial" w:hAnsi="Arial" w:cs="Arial"/>
                <w:b/>
                <w:sz w:val="20"/>
                <w:szCs w:val="20"/>
              </w:rPr>
            </w:pPr>
            <w:r w:rsidRPr="007E0A27">
              <w:rPr>
                <w:rFonts w:ascii="Arial" w:hAnsi="Arial" w:cs="Arial"/>
                <w:b/>
                <w:sz w:val="20"/>
                <w:szCs w:val="20"/>
              </w:rPr>
              <w:t>% LI</w:t>
            </w:r>
          </w:p>
        </w:tc>
      </w:tr>
      <w:tr w:rsidR="008E0538" w14:paraId="7969D8D8" w14:textId="77777777" w:rsidTr="008E0538">
        <w:trPr>
          <w:jc w:val="center"/>
        </w:trPr>
        <w:tc>
          <w:tcPr>
            <w:tcW w:w="0" w:type="auto"/>
            <w:vAlign w:val="center"/>
          </w:tcPr>
          <w:p w14:paraId="3E6190D2" w14:textId="77777777" w:rsidR="008E0538" w:rsidRPr="007E0A27" w:rsidRDefault="008E0538" w:rsidP="008E0538">
            <w:pPr>
              <w:keepNext/>
              <w:keepLines/>
              <w:rPr>
                <w:rFonts w:ascii="Arial" w:hAnsi="Arial" w:cs="Arial"/>
                <w:sz w:val="20"/>
                <w:szCs w:val="20"/>
              </w:rPr>
            </w:pPr>
            <w:r w:rsidRPr="007E0A27">
              <w:rPr>
                <w:rFonts w:ascii="Arial" w:hAnsi="Arial" w:cs="Arial"/>
                <w:sz w:val="20"/>
                <w:szCs w:val="20"/>
              </w:rPr>
              <w:t>Agriculture, Mining, &amp; Construction</w:t>
            </w:r>
          </w:p>
        </w:tc>
        <w:tc>
          <w:tcPr>
            <w:tcW w:w="0" w:type="auto"/>
            <w:vAlign w:val="center"/>
          </w:tcPr>
          <w:p w14:paraId="3FFD8D13" w14:textId="0678C9B9" w:rsidR="008E0538" w:rsidRPr="008E0538" w:rsidRDefault="008E0538" w:rsidP="008E0538">
            <w:pPr>
              <w:jc w:val="right"/>
              <w:rPr>
                <w:rFonts w:ascii="Arial" w:hAnsi="Arial" w:cs="Arial"/>
                <w:sz w:val="20"/>
                <w:szCs w:val="20"/>
              </w:rPr>
            </w:pPr>
            <w:r w:rsidRPr="008E0538">
              <w:rPr>
                <w:rFonts w:ascii="Arial" w:hAnsi="Arial" w:cs="Arial"/>
                <w:sz w:val="20"/>
                <w:szCs w:val="20"/>
              </w:rPr>
              <w:t>53</w:t>
            </w:r>
          </w:p>
        </w:tc>
        <w:tc>
          <w:tcPr>
            <w:tcW w:w="0" w:type="auto"/>
            <w:vAlign w:val="center"/>
          </w:tcPr>
          <w:p w14:paraId="7D19E1FF" w14:textId="2E9AF4F5" w:rsidR="008E0538" w:rsidRPr="008E0538" w:rsidRDefault="008E0538" w:rsidP="008E0538">
            <w:pPr>
              <w:jc w:val="right"/>
              <w:rPr>
                <w:rFonts w:ascii="Arial" w:hAnsi="Arial" w:cs="Arial"/>
                <w:sz w:val="20"/>
                <w:szCs w:val="20"/>
              </w:rPr>
            </w:pPr>
            <w:r w:rsidRPr="008E0538">
              <w:rPr>
                <w:rFonts w:ascii="Arial" w:hAnsi="Arial" w:cs="Arial"/>
                <w:sz w:val="20"/>
                <w:szCs w:val="20"/>
              </w:rPr>
              <w:t>150.7</w:t>
            </w:r>
          </w:p>
        </w:tc>
        <w:tc>
          <w:tcPr>
            <w:tcW w:w="0" w:type="auto"/>
            <w:vAlign w:val="center"/>
          </w:tcPr>
          <w:p w14:paraId="64FFFA81" w14:textId="606A9F01" w:rsidR="008E0538" w:rsidRPr="008E0538" w:rsidRDefault="008E0538" w:rsidP="008E0538">
            <w:pPr>
              <w:jc w:val="right"/>
              <w:rPr>
                <w:rFonts w:ascii="Arial" w:hAnsi="Arial" w:cs="Arial"/>
                <w:sz w:val="20"/>
                <w:szCs w:val="20"/>
              </w:rPr>
            </w:pPr>
            <w:r w:rsidRPr="008E0538">
              <w:rPr>
                <w:rFonts w:ascii="Arial" w:hAnsi="Arial" w:cs="Arial"/>
                <w:sz w:val="20"/>
                <w:szCs w:val="20"/>
              </w:rPr>
              <w:t>7.3</w:t>
            </w:r>
          </w:p>
        </w:tc>
        <w:tc>
          <w:tcPr>
            <w:tcW w:w="1586" w:type="dxa"/>
            <w:vAlign w:val="center"/>
          </w:tcPr>
          <w:p w14:paraId="4B3A2544" w14:textId="68F8B2C9" w:rsidR="008E0538" w:rsidRPr="008E0538" w:rsidRDefault="008E0538" w:rsidP="008E0538">
            <w:pPr>
              <w:jc w:val="right"/>
              <w:rPr>
                <w:rFonts w:ascii="Arial" w:hAnsi="Arial" w:cs="Arial"/>
                <w:sz w:val="20"/>
                <w:szCs w:val="20"/>
              </w:rPr>
            </w:pPr>
            <w:r w:rsidRPr="008E0538">
              <w:rPr>
                <w:rFonts w:ascii="Arial" w:hAnsi="Arial" w:cs="Arial"/>
                <w:sz w:val="20"/>
                <w:szCs w:val="20"/>
              </w:rPr>
              <w:t>143.3</w:t>
            </w:r>
          </w:p>
        </w:tc>
        <w:tc>
          <w:tcPr>
            <w:tcW w:w="828" w:type="dxa"/>
            <w:vAlign w:val="center"/>
          </w:tcPr>
          <w:p w14:paraId="10B48BF4" w14:textId="31418CD5" w:rsidR="008E0538" w:rsidRPr="008E0538" w:rsidRDefault="008E0538" w:rsidP="008E0538">
            <w:pPr>
              <w:jc w:val="right"/>
              <w:rPr>
                <w:rFonts w:ascii="Arial" w:hAnsi="Arial" w:cs="Arial"/>
                <w:sz w:val="20"/>
                <w:szCs w:val="20"/>
              </w:rPr>
            </w:pPr>
            <w:r w:rsidRPr="008E0538">
              <w:rPr>
                <w:rFonts w:ascii="Arial" w:hAnsi="Arial" w:cs="Arial"/>
                <w:sz w:val="20"/>
                <w:szCs w:val="20"/>
              </w:rPr>
              <w:t>95.1%</w:t>
            </w:r>
          </w:p>
        </w:tc>
      </w:tr>
      <w:tr w:rsidR="008E0538" w14:paraId="5E362BEF" w14:textId="77777777" w:rsidTr="008E0538">
        <w:trPr>
          <w:jc w:val="center"/>
        </w:trPr>
        <w:tc>
          <w:tcPr>
            <w:tcW w:w="0" w:type="auto"/>
            <w:vAlign w:val="center"/>
          </w:tcPr>
          <w:p w14:paraId="6CB0C210" w14:textId="77777777" w:rsidR="008E0538" w:rsidRPr="007E0A27" w:rsidRDefault="008E0538" w:rsidP="008E0538">
            <w:pPr>
              <w:keepNext/>
              <w:keepLines/>
              <w:rPr>
                <w:rFonts w:ascii="Arial" w:hAnsi="Arial" w:cs="Arial"/>
                <w:sz w:val="20"/>
                <w:szCs w:val="20"/>
              </w:rPr>
            </w:pPr>
            <w:r w:rsidRPr="007E0A27">
              <w:rPr>
                <w:rFonts w:ascii="Arial" w:hAnsi="Arial" w:cs="Arial"/>
                <w:sz w:val="20"/>
                <w:szCs w:val="20"/>
              </w:rPr>
              <w:t>Manufacturing</w:t>
            </w:r>
          </w:p>
        </w:tc>
        <w:tc>
          <w:tcPr>
            <w:tcW w:w="0" w:type="auto"/>
            <w:vAlign w:val="center"/>
          </w:tcPr>
          <w:p w14:paraId="5411D9B8" w14:textId="24E26D96" w:rsidR="008E0538" w:rsidRPr="008E0538" w:rsidRDefault="008E0538" w:rsidP="008E0538">
            <w:pPr>
              <w:jc w:val="right"/>
              <w:rPr>
                <w:rFonts w:ascii="Arial" w:hAnsi="Arial" w:cs="Arial"/>
                <w:sz w:val="20"/>
                <w:szCs w:val="20"/>
              </w:rPr>
            </w:pPr>
            <w:r w:rsidRPr="008E0538">
              <w:rPr>
                <w:rFonts w:ascii="Arial" w:hAnsi="Arial" w:cs="Arial"/>
                <w:sz w:val="20"/>
                <w:szCs w:val="20"/>
              </w:rPr>
              <w:t>353</w:t>
            </w:r>
          </w:p>
        </w:tc>
        <w:tc>
          <w:tcPr>
            <w:tcW w:w="0" w:type="auto"/>
            <w:vAlign w:val="center"/>
          </w:tcPr>
          <w:p w14:paraId="4BDA5610" w14:textId="25A54A36" w:rsidR="008E0538" w:rsidRPr="008E0538" w:rsidRDefault="008E0538" w:rsidP="008E0538">
            <w:pPr>
              <w:jc w:val="right"/>
              <w:rPr>
                <w:rFonts w:ascii="Arial" w:hAnsi="Arial" w:cs="Arial"/>
                <w:sz w:val="20"/>
                <w:szCs w:val="20"/>
              </w:rPr>
            </w:pPr>
            <w:r w:rsidRPr="008E0538">
              <w:rPr>
                <w:rFonts w:ascii="Arial" w:hAnsi="Arial" w:cs="Arial"/>
                <w:sz w:val="20"/>
                <w:szCs w:val="20"/>
              </w:rPr>
              <w:t>493.2</w:t>
            </w:r>
          </w:p>
        </w:tc>
        <w:tc>
          <w:tcPr>
            <w:tcW w:w="0" w:type="auto"/>
            <w:vAlign w:val="center"/>
          </w:tcPr>
          <w:p w14:paraId="12248513" w14:textId="58A14FEB" w:rsidR="008E0538" w:rsidRPr="008E0538" w:rsidRDefault="008E0538" w:rsidP="008E0538">
            <w:pPr>
              <w:jc w:val="right"/>
              <w:rPr>
                <w:rFonts w:ascii="Arial" w:hAnsi="Arial" w:cs="Arial"/>
                <w:sz w:val="20"/>
                <w:szCs w:val="20"/>
              </w:rPr>
            </w:pPr>
            <w:r w:rsidRPr="008E0538">
              <w:rPr>
                <w:rFonts w:ascii="Arial" w:hAnsi="Arial" w:cs="Arial"/>
                <w:sz w:val="20"/>
                <w:szCs w:val="20"/>
              </w:rPr>
              <w:t>90.2</w:t>
            </w:r>
          </w:p>
        </w:tc>
        <w:tc>
          <w:tcPr>
            <w:tcW w:w="1586" w:type="dxa"/>
            <w:vAlign w:val="center"/>
          </w:tcPr>
          <w:p w14:paraId="1E11D48A" w14:textId="3E640DC5" w:rsidR="008E0538" w:rsidRPr="008E0538" w:rsidRDefault="008E0538" w:rsidP="008E0538">
            <w:pPr>
              <w:jc w:val="right"/>
              <w:rPr>
                <w:rFonts w:ascii="Arial" w:hAnsi="Arial" w:cs="Arial"/>
                <w:sz w:val="20"/>
                <w:szCs w:val="20"/>
              </w:rPr>
            </w:pPr>
            <w:r w:rsidRPr="008E0538">
              <w:rPr>
                <w:rFonts w:ascii="Arial" w:hAnsi="Arial" w:cs="Arial"/>
                <w:sz w:val="20"/>
                <w:szCs w:val="20"/>
              </w:rPr>
              <w:t>403.0</w:t>
            </w:r>
          </w:p>
        </w:tc>
        <w:tc>
          <w:tcPr>
            <w:tcW w:w="828" w:type="dxa"/>
            <w:vAlign w:val="center"/>
          </w:tcPr>
          <w:p w14:paraId="2D13732C" w14:textId="5151D8FC" w:rsidR="008E0538" w:rsidRPr="008E0538" w:rsidRDefault="008E0538" w:rsidP="008E0538">
            <w:pPr>
              <w:jc w:val="right"/>
              <w:rPr>
                <w:rFonts w:ascii="Arial" w:hAnsi="Arial" w:cs="Arial"/>
                <w:sz w:val="20"/>
                <w:szCs w:val="20"/>
              </w:rPr>
            </w:pPr>
            <w:r w:rsidRPr="008E0538">
              <w:rPr>
                <w:rFonts w:ascii="Arial" w:hAnsi="Arial" w:cs="Arial"/>
                <w:sz w:val="20"/>
                <w:szCs w:val="20"/>
              </w:rPr>
              <w:t>81.7%</w:t>
            </w:r>
          </w:p>
        </w:tc>
      </w:tr>
      <w:tr w:rsidR="008E0538" w14:paraId="15E3C505" w14:textId="77777777" w:rsidTr="008E0538">
        <w:trPr>
          <w:jc w:val="center"/>
        </w:trPr>
        <w:tc>
          <w:tcPr>
            <w:tcW w:w="0" w:type="auto"/>
            <w:vAlign w:val="center"/>
          </w:tcPr>
          <w:p w14:paraId="5F405E91" w14:textId="77777777" w:rsidR="008E0538" w:rsidRPr="007E0A27" w:rsidRDefault="008E0538" w:rsidP="008E0538">
            <w:pPr>
              <w:keepNext/>
              <w:keepLines/>
              <w:rPr>
                <w:rFonts w:ascii="Arial" w:hAnsi="Arial" w:cs="Arial"/>
                <w:sz w:val="20"/>
                <w:szCs w:val="20"/>
              </w:rPr>
            </w:pPr>
            <w:r w:rsidRPr="007E0A27">
              <w:rPr>
                <w:rFonts w:ascii="Arial" w:hAnsi="Arial" w:cs="Arial"/>
                <w:sz w:val="20"/>
                <w:szCs w:val="20"/>
              </w:rPr>
              <w:t>Wholesale, Transportation, &amp; Other Utilities</w:t>
            </w:r>
          </w:p>
        </w:tc>
        <w:tc>
          <w:tcPr>
            <w:tcW w:w="0" w:type="auto"/>
            <w:vAlign w:val="center"/>
          </w:tcPr>
          <w:p w14:paraId="4378CC59" w14:textId="71139FC4" w:rsidR="008E0538" w:rsidRPr="008E0538" w:rsidRDefault="008E0538" w:rsidP="008E0538">
            <w:pPr>
              <w:jc w:val="right"/>
              <w:rPr>
                <w:rFonts w:ascii="Arial" w:hAnsi="Arial" w:cs="Arial"/>
                <w:sz w:val="20"/>
                <w:szCs w:val="20"/>
              </w:rPr>
            </w:pPr>
            <w:r w:rsidRPr="008E0538">
              <w:rPr>
                <w:rFonts w:ascii="Arial" w:hAnsi="Arial" w:cs="Arial"/>
                <w:sz w:val="20"/>
                <w:szCs w:val="20"/>
              </w:rPr>
              <w:t>68</w:t>
            </w:r>
          </w:p>
        </w:tc>
        <w:tc>
          <w:tcPr>
            <w:tcW w:w="0" w:type="auto"/>
            <w:vAlign w:val="center"/>
          </w:tcPr>
          <w:p w14:paraId="0C444CD9" w14:textId="29A4FEAF" w:rsidR="008E0538" w:rsidRPr="008E0538" w:rsidRDefault="008E0538" w:rsidP="008E0538">
            <w:pPr>
              <w:jc w:val="right"/>
              <w:rPr>
                <w:rFonts w:ascii="Arial" w:hAnsi="Arial" w:cs="Arial"/>
                <w:sz w:val="20"/>
                <w:szCs w:val="20"/>
              </w:rPr>
            </w:pPr>
            <w:r w:rsidRPr="008E0538">
              <w:rPr>
                <w:rFonts w:ascii="Arial" w:hAnsi="Arial" w:cs="Arial"/>
                <w:sz w:val="20"/>
                <w:szCs w:val="20"/>
              </w:rPr>
              <w:t>49.9</w:t>
            </w:r>
          </w:p>
        </w:tc>
        <w:tc>
          <w:tcPr>
            <w:tcW w:w="0" w:type="auto"/>
            <w:vAlign w:val="center"/>
          </w:tcPr>
          <w:p w14:paraId="3344E47E" w14:textId="481575FC" w:rsidR="008E0538" w:rsidRPr="008E0538" w:rsidRDefault="008E0538" w:rsidP="008E0538">
            <w:pPr>
              <w:jc w:val="right"/>
              <w:rPr>
                <w:rFonts w:ascii="Arial" w:hAnsi="Arial" w:cs="Arial"/>
                <w:sz w:val="20"/>
                <w:szCs w:val="20"/>
              </w:rPr>
            </w:pPr>
            <w:r w:rsidRPr="008E0538">
              <w:rPr>
                <w:rFonts w:ascii="Arial" w:hAnsi="Arial" w:cs="Arial"/>
                <w:sz w:val="20"/>
                <w:szCs w:val="20"/>
              </w:rPr>
              <w:t>9.1</w:t>
            </w:r>
          </w:p>
        </w:tc>
        <w:tc>
          <w:tcPr>
            <w:tcW w:w="1586" w:type="dxa"/>
            <w:vAlign w:val="center"/>
          </w:tcPr>
          <w:p w14:paraId="74FE906F" w14:textId="38DBC699" w:rsidR="008E0538" w:rsidRPr="008E0538" w:rsidRDefault="008E0538" w:rsidP="008E0538">
            <w:pPr>
              <w:jc w:val="right"/>
              <w:rPr>
                <w:rFonts w:ascii="Arial" w:hAnsi="Arial" w:cs="Arial"/>
                <w:sz w:val="20"/>
                <w:szCs w:val="20"/>
              </w:rPr>
            </w:pPr>
            <w:r w:rsidRPr="008E0538">
              <w:rPr>
                <w:rFonts w:ascii="Arial" w:hAnsi="Arial" w:cs="Arial"/>
                <w:sz w:val="20"/>
                <w:szCs w:val="20"/>
              </w:rPr>
              <w:t>40.8</w:t>
            </w:r>
          </w:p>
        </w:tc>
        <w:tc>
          <w:tcPr>
            <w:tcW w:w="828" w:type="dxa"/>
            <w:vAlign w:val="center"/>
          </w:tcPr>
          <w:p w14:paraId="64F7EA48" w14:textId="64CA9445" w:rsidR="008E0538" w:rsidRPr="008E0538" w:rsidRDefault="008E0538" w:rsidP="008E0538">
            <w:pPr>
              <w:jc w:val="right"/>
              <w:rPr>
                <w:rFonts w:ascii="Arial" w:hAnsi="Arial" w:cs="Arial"/>
                <w:sz w:val="20"/>
                <w:szCs w:val="20"/>
              </w:rPr>
            </w:pPr>
            <w:r w:rsidRPr="008E0538">
              <w:rPr>
                <w:rFonts w:ascii="Arial" w:hAnsi="Arial" w:cs="Arial"/>
                <w:sz w:val="20"/>
                <w:szCs w:val="20"/>
              </w:rPr>
              <w:t>81.8%</w:t>
            </w:r>
          </w:p>
        </w:tc>
      </w:tr>
      <w:tr w:rsidR="008E0538" w14:paraId="1FB02291" w14:textId="77777777" w:rsidTr="008E0538">
        <w:trPr>
          <w:jc w:val="center"/>
        </w:trPr>
        <w:tc>
          <w:tcPr>
            <w:tcW w:w="0" w:type="auto"/>
            <w:vAlign w:val="center"/>
          </w:tcPr>
          <w:p w14:paraId="5E0A03C4" w14:textId="77777777" w:rsidR="008E0538" w:rsidRPr="007E0A27" w:rsidRDefault="008E0538" w:rsidP="008E0538">
            <w:pPr>
              <w:keepNext/>
              <w:keepLines/>
              <w:rPr>
                <w:rFonts w:ascii="Arial" w:hAnsi="Arial" w:cs="Arial"/>
                <w:sz w:val="20"/>
                <w:szCs w:val="20"/>
              </w:rPr>
            </w:pPr>
            <w:r w:rsidRPr="007E0A27">
              <w:rPr>
                <w:rFonts w:ascii="Arial" w:hAnsi="Arial" w:cs="Arial"/>
                <w:sz w:val="20"/>
                <w:szCs w:val="20"/>
              </w:rPr>
              <w:t>Retail Stores</w:t>
            </w:r>
          </w:p>
        </w:tc>
        <w:tc>
          <w:tcPr>
            <w:tcW w:w="0" w:type="auto"/>
            <w:vAlign w:val="center"/>
          </w:tcPr>
          <w:p w14:paraId="413F63D3" w14:textId="0372A9EC" w:rsidR="008E0538" w:rsidRPr="008E0538" w:rsidRDefault="008E0538" w:rsidP="008E0538">
            <w:pPr>
              <w:jc w:val="right"/>
              <w:rPr>
                <w:rFonts w:ascii="Arial" w:hAnsi="Arial" w:cs="Arial"/>
                <w:sz w:val="20"/>
                <w:szCs w:val="20"/>
              </w:rPr>
            </w:pPr>
            <w:r w:rsidRPr="008E0538">
              <w:rPr>
                <w:rFonts w:ascii="Arial" w:hAnsi="Arial" w:cs="Arial"/>
                <w:sz w:val="20"/>
                <w:szCs w:val="20"/>
              </w:rPr>
              <w:t>40</w:t>
            </w:r>
          </w:p>
        </w:tc>
        <w:tc>
          <w:tcPr>
            <w:tcW w:w="0" w:type="auto"/>
            <w:vAlign w:val="center"/>
          </w:tcPr>
          <w:p w14:paraId="37E56587" w14:textId="0EF41D47" w:rsidR="008E0538" w:rsidRPr="008E0538" w:rsidRDefault="008E0538" w:rsidP="008E0538">
            <w:pPr>
              <w:jc w:val="right"/>
              <w:rPr>
                <w:rFonts w:ascii="Arial" w:hAnsi="Arial" w:cs="Arial"/>
                <w:sz w:val="20"/>
                <w:szCs w:val="20"/>
              </w:rPr>
            </w:pPr>
            <w:r w:rsidRPr="008E0538">
              <w:rPr>
                <w:rFonts w:ascii="Arial" w:hAnsi="Arial" w:cs="Arial"/>
                <w:sz w:val="20"/>
                <w:szCs w:val="20"/>
              </w:rPr>
              <w:t>15.6</w:t>
            </w:r>
          </w:p>
        </w:tc>
        <w:tc>
          <w:tcPr>
            <w:tcW w:w="0" w:type="auto"/>
            <w:vAlign w:val="center"/>
          </w:tcPr>
          <w:p w14:paraId="7674B7A5" w14:textId="04FF7830" w:rsidR="008E0538" w:rsidRPr="008E0538" w:rsidRDefault="008E0538" w:rsidP="008E0538">
            <w:pPr>
              <w:jc w:val="right"/>
              <w:rPr>
                <w:rFonts w:ascii="Arial" w:hAnsi="Arial" w:cs="Arial"/>
                <w:sz w:val="20"/>
                <w:szCs w:val="20"/>
              </w:rPr>
            </w:pPr>
            <w:r w:rsidRPr="008E0538">
              <w:rPr>
                <w:rFonts w:ascii="Arial" w:hAnsi="Arial" w:cs="Arial"/>
                <w:sz w:val="20"/>
                <w:szCs w:val="20"/>
              </w:rPr>
              <w:t>8.8</w:t>
            </w:r>
          </w:p>
        </w:tc>
        <w:tc>
          <w:tcPr>
            <w:tcW w:w="1586" w:type="dxa"/>
            <w:vAlign w:val="center"/>
          </w:tcPr>
          <w:p w14:paraId="76B61958" w14:textId="76CD9EE6" w:rsidR="008E0538" w:rsidRPr="008E0538" w:rsidRDefault="008E0538" w:rsidP="008E0538">
            <w:pPr>
              <w:jc w:val="right"/>
              <w:rPr>
                <w:rFonts w:ascii="Arial" w:hAnsi="Arial" w:cs="Arial"/>
                <w:sz w:val="20"/>
                <w:szCs w:val="20"/>
              </w:rPr>
            </w:pPr>
            <w:r w:rsidRPr="008E0538">
              <w:rPr>
                <w:rFonts w:ascii="Arial" w:hAnsi="Arial" w:cs="Arial"/>
                <w:sz w:val="20"/>
                <w:szCs w:val="20"/>
              </w:rPr>
              <w:t>6.8</w:t>
            </w:r>
          </w:p>
        </w:tc>
        <w:tc>
          <w:tcPr>
            <w:tcW w:w="828" w:type="dxa"/>
            <w:vAlign w:val="center"/>
          </w:tcPr>
          <w:p w14:paraId="42F72E18" w14:textId="7D7CB4FB" w:rsidR="008E0538" w:rsidRPr="008E0538" w:rsidRDefault="008E0538" w:rsidP="008E0538">
            <w:pPr>
              <w:jc w:val="right"/>
              <w:rPr>
                <w:rFonts w:ascii="Arial" w:hAnsi="Arial" w:cs="Arial"/>
                <w:sz w:val="20"/>
                <w:szCs w:val="20"/>
              </w:rPr>
            </w:pPr>
            <w:r w:rsidRPr="008E0538">
              <w:rPr>
                <w:rFonts w:ascii="Arial" w:hAnsi="Arial" w:cs="Arial"/>
                <w:sz w:val="20"/>
                <w:szCs w:val="20"/>
              </w:rPr>
              <w:t>43.7%</w:t>
            </w:r>
          </w:p>
        </w:tc>
      </w:tr>
      <w:tr w:rsidR="008E0538" w14:paraId="0981984B" w14:textId="77777777" w:rsidTr="008E0538">
        <w:trPr>
          <w:jc w:val="center"/>
        </w:trPr>
        <w:tc>
          <w:tcPr>
            <w:tcW w:w="0" w:type="auto"/>
            <w:vAlign w:val="center"/>
          </w:tcPr>
          <w:p w14:paraId="432AD1F8" w14:textId="77777777" w:rsidR="008E0538" w:rsidRPr="007E0A27" w:rsidRDefault="008E0538" w:rsidP="008E0538">
            <w:pPr>
              <w:keepNext/>
              <w:keepLines/>
              <w:rPr>
                <w:rFonts w:ascii="Arial" w:hAnsi="Arial" w:cs="Arial"/>
                <w:sz w:val="20"/>
                <w:szCs w:val="20"/>
              </w:rPr>
            </w:pPr>
            <w:r w:rsidRPr="007E0A27">
              <w:rPr>
                <w:rFonts w:ascii="Arial" w:hAnsi="Arial" w:cs="Arial"/>
                <w:sz w:val="20"/>
                <w:szCs w:val="20"/>
              </w:rPr>
              <w:t>Offices, Hotels, Health, Services</w:t>
            </w:r>
          </w:p>
        </w:tc>
        <w:tc>
          <w:tcPr>
            <w:tcW w:w="0" w:type="auto"/>
            <w:vAlign w:val="center"/>
          </w:tcPr>
          <w:p w14:paraId="5CC5E0E6" w14:textId="784618E9" w:rsidR="008E0538" w:rsidRPr="008E0538" w:rsidRDefault="008E0538" w:rsidP="008E0538">
            <w:pPr>
              <w:jc w:val="right"/>
              <w:rPr>
                <w:rFonts w:ascii="Arial" w:hAnsi="Arial" w:cs="Arial"/>
                <w:sz w:val="20"/>
                <w:szCs w:val="20"/>
              </w:rPr>
            </w:pPr>
          </w:p>
        </w:tc>
        <w:tc>
          <w:tcPr>
            <w:tcW w:w="0" w:type="auto"/>
            <w:vAlign w:val="center"/>
          </w:tcPr>
          <w:p w14:paraId="2E51AE2C" w14:textId="68F41E95" w:rsidR="008E0538" w:rsidRPr="008E0538" w:rsidRDefault="008E0538" w:rsidP="008E0538">
            <w:pPr>
              <w:jc w:val="right"/>
              <w:rPr>
                <w:rFonts w:ascii="Arial" w:hAnsi="Arial" w:cs="Arial"/>
                <w:sz w:val="20"/>
                <w:szCs w:val="20"/>
              </w:rPr>
            </w:pPr>
          </w:p>
        </w:tc>
        <w:tc>
          <w:tcPr>
            <w:tcW w:w="0" w:type="auto"/>
            <w:vAlign w:val="center"/>
          </w:tcPr>
          <w:p w14:paraId="0E93A6ED" w14:textId="43568333" w:rsidR="008E0538" w:rsidRPr="008E0538" w:rsidRDefault="008E0538" w:rsidP="008E0538">
            <w:pPr>
              <w:jc w:val="right"/>
              <w:rPr>
                <w:rFonts w:ascii="Arial" w:hAnsi="Arial" w:cs="Arial"/>
                <w:sz w:val="20"/>
                <w:szCs w:val="20"/>
              </w:rPr>
            </w:pPr>
          </w:p>
        </w:tc>
        <w:tc>
          <w:tcPr>
            <w:tcW w:w="1586" w:type="dxa"/>
            <w:vAlign w:val="center"/>
          </w:tcPr>
          <w:p w14:paraId="51779CE0" w14:textId="3191D99F" w:rsidR="008E0538" w:rsidRPr="008E0538" w:rsidRDefault="008E0538" w:rsidP="008E0538">
            <w:pPr>
              <w:jc w:val="right"/>
              <w:rPr>
                <w:rFonts w:ascii="Arial" w:hAnsi="Arial" w:cs="Arial"/>
                <w:sz w:val="20"/>
                <w:szCs w:val="20"/>
              </w:rPr>
            </w:pPr>
          </w:p>
        </w:tc>
        <w:tc>
          <w:tcPr>
            <w:tcW w:w="828" w:type="dxa"/>
            <w:vAlign w:val="center"/>
          </w:tcPr>
          <w:p w14:paraId="74CA21DA" w14:textId="170B8FA1" w:rsidR="008E0538" w:rsidRPr="008E0538" w:rsidRDefault="008E0538" w:rsidP="008E0538">
            <w:pPr>
              <w:jc w:val="right"/>
              <w:rPr>
                <w:rFonts w:ascii="Arial" w:hAnsi="Arial" w:cs="Arial"/>
                <w:sz w:val="20"/>
                <w:szCs w:val="20"/>
              </w:rPr>
            </w:pPr>
          </w:p>
        </w:tc>
      </w:tr>
      <w:tr w:rsidR="008E0538" w14:paraId="23603D75" w14:textId="77777777" w:rsidTr="008E0538">
        <w:trPr>
          <w:jc w:val="center"/>
        </w:trPr>
        <w:tc>
          <w:tcPr>
            <w:tcW w:w="0" w:type="auto"/>
            <w:vAlign w:val="center"/>
          </w:tcPr>
          <w:p w14:paraId="4BBC1E88" w14:textId="77777777" w:rsidR="008E0538" w:rsidRPr="007E0A27" w:rsidRDefault="008E0538" w:rsidP="008E0538">
            <w:pPr>
              <w:keepNext/>
              <w:keepLines/>
              <w:rPr>
                <w:rFonts w:ascii="Arial" w:hAnsi="Arial" w:cs="Arial"/>
                <w:sz w:val="20"/>
                <w:szCs w:val="20"/>
              </w:rPr>
            </w:pPr>
            <w:r w:rsidRPr="007E0A27">
              <w:rPr>
                <w:rFonts w:ascii="Arial" w:hAnsi="Arial" w:cs="Arial"/>
                <w:sz w:val="20"/>
                <w:szCs w:val="20"/>
              </w:rPr>
              <w:t>Schools</w:t>
            </w:r>
          </w:p>
        </w:tc>
        <w:tc>
          <w:tcPr>
            <w:tcW w:w="0" w:type="auto"/>
            <w:vAlign w:val="center"/>
          </w:tcPr>
          <w:p w14:paraId="0AEC2479" w14:textId="74530E2B" w:rsidR="008E0538" w:rsidRPr="008E0538" w:rsidRDefault="008E0538" w:rsidP="008E0538">
            <w:pPr>
              <w:jc w:val="right"/>
              <w:rPr>
                <w:rFonts w:ascii="Arial" w:hAnsi="Arial" w:cs="Arial"/>
                <w:sz w:val="20"/>
                <w:szCs w:val="20"/>
              </w:rPr>
            </w:pPr>
            <w:r w:rsidRPr="008E0538">
              <w:rPr>
                <w:rFonts w:ascii="Arial" w:hAnsi="Arial" w:cs="Arial"/>
                <w:sz w:val="20"/>
                <w:szCs w:val="20"/>
              </w:rPr>
              <w:t>68</w:t>
            </w:r>
          </w:p>
        </w:tc>
        <w:tc>
          <w:tcPr>
            <w:tcW w:w="0" w:type="auto"/>
            <w:vAlign w:val="center"/>
          </w:tcPr>
          <w:p w14:paraId="203FDA00" w14:textId="69558070" w:rsidR="008E0538" w:rsidRPr="008E0538" w:rsidRDefault="008E0538" w:rsidP="008E0538">
            <w:pPr>
              <w:jc w:val="right"/>
              <w:rPr>
                <w:rFonts w:ascii="Arial" w:hAnsi="Arial" w:cs="Arial"/>
                <w:sz w:val="20"/>
                <w:szCs w:val="20"/>
              </w:rPr>
            </w:pPr>
            <w:r w:rsidRPr="008E0538">
              <w:rPr>
                <w:rFonts w:ascii="Arial" w:hAnsi="Arial" w:cs="Arial"/>
                <w:sz w:val="20"/>
                <w:szCs w:val="20"/>
              </w:rPr>
              <w:t>17.8</w:t>
            </w:r>
          </w:p>
        </w:tc>
        <w:tc>
          <w:tcPr>
            <w:tcW w:w="0" w:type="auto"/>
            <w:vAlign w:val="center"/>
          </w:tcPr>
          <w:p w14:paraId="4C9AF3A3" w14:textId="3346D087" w:rsidR="008E0538" w:rsidRPr="008E0538" w:rsidRDefault="008E0538" w:rsidP="008E0538">
            <w:pPr>
              <w:jc w:val="right"/>
              <w:rPr>
                <w:rFonts w:ascii="Arial" w:hAnsi="Arial" w:cs="Arial"/>
                <w:sz w:val="20"/>
                <w:szCs w:val="20"/>
              </w:rPr>
            </w:pPr>
            <w:r w:rsidRPr="008E0538">
              <w:rPr>
                <w:rFonts w:ascii="Arial" w:hAnsi="Arial" w:cs="Arial"/>
                <w:sz w:val="20"/>
                <w:szCs w:val="20"/>
              </w:rPr>
              <w:t>8.3</w:t>
            </w:r>
          </w:p>
        </w:tc>
        <w:tc>
          <w:tcPr>
            <w:tcW w:w="1586" w:type="dxa"/>
            <w:vAlign w:val="center"/>
          </w:tcPr>
          <w:p w14:paraId="6F81928C" w14:textId="1934A533" w:rsidR="008E0538" w:rsidRPr="008E0538" w:rsidRDefault="008E0538" w:rsidP="008E0538">
            <w:pPr>
              <w:jc w:val="right"/>
              <w:rPr>
                <w:rFonts w:ascii="Arial" w:hAnsi="Arial" w:cs="Arial"/>
                <w:sz w:val="20"/>
                <w:szCs w:val="20"/>
              </w:rPr>
            </w:pPr>
            <w:r w:rsidRPr="008E0538">
              <w:rPr>
                <w:rFonts w:ascii="Arial" w:hAnsi="Arial" w:cs="Arial"/>
                <w:sz w:val="20"/>
                <w:szCs w:val="20"/>
              </w:rPr>
              <w:t>9.4</w:t>
            </w:r>
          </w:p>
        </w:tc>
        <w:tc>
          <w:tcPr>
            <w:tcW w:w="828" w:type="dxa"/>
            <w:vAlign w:val="center"/>
          </w:tcPr>
          <w:p w14:paraId="58DFF8FF" w14:textId="3AA191C9" w:rsidR="008E0538" w:rsidRPr="008E0538" w:rsidRDefault="008E0538" w:rsidP="008E0538">
            <w:pPr>
              <w:jc w:val="right"/>
              <w:rPr>
                <w:rFonts w:ascii="Arial" w:hAnsi="Arial" w:cs="Arial"/>
                <w:sz w:val="20"/>
                <w:szCs w:val="20"/>
              </w:rPr>
            </w:pPr>
            <w:r w:rsidRPr="008E0538">
              <w:rPr>
                <w:rFonts w:ascii="Arial" w:hAnsi="Arial" w:cs="Arial"/>
                <w:sz w:val="20"/>
                <w:szCs w:val="20"/>
              </w:rPr>
              <w:t>53.0%</w:t>
            </w:r>
          </w:p>
        </w:tc>
      </w:tr>
      <w:tr w:rsidR="008E0538" w14:paraId="4D7647E2" w14:textId="77777777" w:rsidTr="008E0538">
        <w:trPr>
          <w:jc w:val="center"/>
        </w:trPr>
        <w:tc>
          <w:tcPr>
            <w:tcW w:w="0" w:type="auto"/>
            <w:vAlign w:val="center"/>
          </w:tcPr>
          <w:p w14:paraId="3E227DC8" w14:textId="77777777" w:rsidR="008E0538" w:rsidRPr="007E0A27" w:rsidRDefault="008E0538" w:rsidP="008E0538">
            <w:pPr>
              <w:keepNext/>
              <w:keepLines/>
              <w:rPr>
                <w:rFonts w:ascii="Arial" w:hAnsi="Arial" w:cs="Arial"/>
                <w:sz w:val="20"/>
                <w:szCs w:val="20"/>
              </w:rPr>
            </w:pPr>
            <w:r w:rsidRPr="007E0A27">
              <w:rPr>
                <w:rFonts w:ascii="Arial" w:hAnsi="Arial" w:cs="Arial"/>
                <w:sz w:val="20"/>
                <w:szCs w:val="20"/>
              </w:rPr>
              <w:t>Entertainment, Other Services, Government</w:t>
            </w:r>
          </w:p>
        </w:tc>
        <w:tc>
          <w:tcPr>
            <w:tcW w:w="0" w:type="auto"/>
            <w:vAlign w:val="center"/>
          </w:tcPr>
          <w:p w14:paraId="4C40380C" w14:textId="61D3D16C" w:rsidR="008E0538" w:rsidRPr="008E0538" w:rsidRDefault="008E0538" w:rsidP="008E0538">
            <w:pPr>
              <w:jc w:val="right"/>
              <w:rPr>
                <w:rFonts w:ascii="Arial" w:hAnsi="Arial" w:cs="Arial"/>
                <w:sz w:val="20"/>
                <w:szCs w:val="20"/>
              </w:rPr>
            </w:pPr>
          </w:p>
        </w:tc>
        <w:tc>
          <w:tcPr>
            <w:tcW w:w="0" w:type="auto"/>
            <w:vAlign w:val="center"/>
          </w:tcPr>
          <w:p w14:paraId="56B30EC2" w14:textId="740AEA84" w:rsidR="008E0538" w:rsidRPr="008E0538" w:rsidRDefault="008E0538" w:rsidP="008E0538">
            <w:pPr>
              <w:jc w:val="right"/>
              <w:rPr>
                <w:rFonts w:ascii="Arial" w:hAnsi="Arial" w:cs="Arial"/>
                <w:sz w:val="20"/>
                <w:szCs w:val="20"/>
              </w:rPr>
            </w:pPr>
          </w:p>
        </w:tc>
        <w:tc>
          <w:tcPr>
            <w:tcW w:w="0" w:type="auto"/>
            <w:vAlign w:val="center"/>
          </w:tcPr>
          <w:p w14:paraId="2E49FF9F" w14:textId="5E3A0CD3" w:rsidR="008E0538" w:rsidRPr="008E0538" w:rsidRDefault="008E0538" w:rsidP="008E0538">
            <w:pPr>
              <w:jc w:val="right"/>
              <w:rPr>
                <w:rFonts w:ascii="Arial" w:hAnsi="Arial" w:cs="Arial"/>
                <w:sz w:val="20"/>
                <w:szCs w:val="20"/>
              </w:rPr>
            </w:pPr>
          </w:p>
        </w:tc>
        <w:tc>
          <w:tcPr>
            <w:tcW w:w="1586" w:type="dxa"/>
            <w:vAlign w:val="center"/>
          </w:tcPr>
          <w:p w14:paraId="67E033C0" w14:textId="2DC79F61" w:rsidR="008E0538" w:rsidRPr="008E0538" w:rsidRDefault="008E0538" w:rsidP="008E0538">
            <w:pPr>
              <w:jc w:val="right"/>
              <w:rPr>
                <w:rFonts w:ascii="Arial" w:hAnsi="Arial" w:cs="Arial"/>
                <w:sz w:val="20"/>
                <w:szCs w:val="20"/>
              </w:rPr>
            </w:pPr>
          </w:p>
        </w:tc>
        <w:tc>
          <w:tcPr>
            <w:tcW w:w="828" w:type="dxa"/>
            <w:vAlign w:val="center"/>
          </w:tcPr>
          <w:p w14:paraId="1F2E4769" w14:textId="34369A3B" w:rsidR="008E0538" w:rsidRPr="008E0538" w:rsidRDefault="008E0538" w:rsidP="008E0538">
            <w:pPr>
              <w:jc w:val="right"/>
              <w:rPr>
                <w:rFonts w:ascii="Arial" w:hAnsi="Arial" w:cs="Arial"/>
                <w:sz w:val="20"/>
                <w:szCs w:val="20"/>
              </w:rPr>
            </w:pPr>
          </w:p>
        </w:tc>
      </w:tr>
      <w:tr w:rsidR="008E0538" w14:paraId="5D109CD6" w14:textId="77777777" w:rsidTr="008E0538">
        <w:trPr>
          <w:jc w:val="center"/>
        </w:trPr>
        <w:tc>
          <w:tcPr>
            <w:tcW w:w="0" w:type="auto"/>
            <w:vAlign w:val="center"/>
          </w:tcPr>
          <w:p w14:paraId="4DB0808B" w14:textId="77777777" w:rsidR="008E0538" w:rsidRPr="007E0A27" w:rsidRDefault="008E0538" w:rsidP="008E0538">
            <w:pPr>
              <w:keepNext/>
              <w:keepLines/>
              <w:rPr>
                <w:rFonts w:ascii="Arial" w:hAnsi="Arial" w:cs="Arial"/>
                <w:b/>
                <w:sz w:val="20"/>
                <w:szCs w:val="20"/>
              </w:rPr>
            </w:pPr>
            <w:r w:rsidRPr="007E0A27">
              <w:rPr>
                <w:rFonts w:ascii="Arial" w:hAnsi="Arial" w:cs="Arial"/>
                <w:b/>
                <w:sz w:val="20"/>
                <w:szCs w:val="20"/>
              </w:rPr>
              <w:t>Total</w:t>
            </w:r>
          </w:p>
        </w:tc>
        <w:tc>
          <w:tcPr>
            <w:tcW w:w="0" w:type="auto"/>
            <w:vAlign w:val="center"/>
          </w:tcPr>
          <w:p w14:paraId="07402D5D" w14:textId="01BD60EB" w:rsidR="008E0538" w:rsidRPr="008E0538" w:rsidRDefault="008E0538" w:rsidP="008E0538">
            <w:pPr>
              <w:jc w:val="right"/>
              <w:rPr>
                <w:rFonts w:ascii="Arial" w:hAnsi="Arial" w:cs="Arial"/>
                <w:b/>
                <w:sz w:val="20"/>
                <w:szCs w:val="20"/>
              </w:rPr>
            </w:pPr>
            <w:r w:rsidRPr="008E0538">
              <w:rPr>
                <w:rFonts w:ascii="Arial" w:hAnsi="Arial" w:cs="Arial"/>
                <w:b/>
                <w:sz w:val="20"/>
                <w:szCs w:val="20"/>
              </w:rPr>
              <w:t>620</w:t>
            </w:r>
          </w:p>
        </w:tc>
        <w:tc>
          <w:tcPr>
            <w:tcW w:w="0" w:type="auto"/>
            <w:vAlign w:val="center"/>
          </w:tcPr>
          <w:p w14:paraId="44190C98" w14:textId="659CBB9C" w:rsidR="008E0538" w:rsidRPr="008E0538" w:rsidRDefault="008E0538" w:rsidP="008E0538">
            <w:pPr>
              <w:jc w:val="right"/>
              <w:rPr>
                <w:rFonts w:ascii="Arial" w:hAnsi="Arial" w:cs="Arial"/>
                <w:b/>
                <w:sz w:val="20"/>
                <w:szCs w:val="20"/>
              </w:rPr>
            </w:pPr>
            <w:r w:rsidRPr="008E0538">
              <w:rPr>
                <w:rFonts w:ascii="Arial" w:hAnsi="Arial" w:cs="Arial"/>
                <w:b/>
                <w:sz w:val="20"/>
                <w:szCs w:val="20"/>
              </w:rPr>
              <w:t>755.1</w:t>
            </w:r>
          </w:p>
        </w:tc>
        <w:tc>
          <w:tcPr>
            <w:tcW w:w="0" w:type="auto"/>
            <w:vAlign w:val="center"/>
          </w:tcPr>
          <w:p w14:paraId="10050BD2" w14:textId="5BF7AD45" w:rsidR="008E0538" w:rsidRPr="008E0538" w:rsidRDefault="008E0538" w:rsidP="008E0538">
            <w:pPr>
              <w:jc w:val="right"/>
              <w:rPr>
                <w:rFonts w:ascii="Arial" w:hAnsi="Arial" w:cs="Arial"/>
                <w:b/>
                <w:sz w:val="20"/>
                <w:szCs w:val="20"/>
              </w:rPr>
            </w:pPr>
            <w:r w:rsidRPr="008E0538">
              <w:rPr>
                <w:rFonts w:ascii="Arial" w:hAnsi="Arial" w:cs="Arial"/>
                <w:b/>
                <w:sz w:val="20"/>
                <w:szCs w:val="20"/>
              </w:rPr>
              <w:t>131.2</w:t>
            </w:r>
          </w:p>
        </w:tc>
        <w:tc>
          <w:tcPr>
            <w:tcW w:w="1586" w:type="dxa"/>
            <w:vAlign w:val="center"/>
          </w:tcPr>
          <w:p w14:paraId="2CA340A5" w14:textId="061A0466" w:rsidR="008E0538" w:rsidRPr="008E0538" w:rsidRDefault="008E0538" w:rsidP="008E0538">
            <w:pPr>
              <w:jc w:val="right"/>
              <w:rPr>
                <w:rFonts w:ascii="Arial" w:hAnsi="Arial" w:cs="Arial"/>
                <w:b/>
                <w:sz w:val="20"/>
                <w:szCs w:val="20"/>
              </w:rPr>
            </w:pPr>
            <w:r w:rsidRPr="008E0538">
              <w:rPr>
                <w:rFonts w:ascii="Arial" w:hAnsi="Arial" w:cs="Arial"/>
                <w:b/>
                <w:sz w:val="20"/>
                <w:szCs w:val="20"/>
              </w:rPr>
              <w:t>623.9</w:t>
            </w:r>
          </w:p>
        </w:tc>
        <w:tc>
          <w:tcPr>
            <w:tcW w:w="828" w:type="dxa"/>
            <w:vAlign w:val="center"/>
          </w:tcPr>
          <w:p w14:paraId="0DF3CD1D" w14:textId="161ACE55" w:rsidR="008E0538" w:rsidRPr="008E0538" w:rsidRDefault="008E0538" w:rsidP="008E0538">
            <w:pPr>
              <w:jc w:val="right"/>
              <w:rPr>
                <w:rFonts w:ascii="Arial" w:hAnsi="Arial" w:cs="Arial"/>
                <w:b/>
                <w:sz w:val="20"/>
                <w:szCs w:val="20"/>
              </w:rPr>
            </w:pPr>
            <w:r w:rsidRPr="008E0538">
              <w:rPr>
                <w:rFonts w:ascii="Arial" w:hAnsi="Arial" w:cs="Arial"/>
                <w:b/>
                <w:sz w:val="20"/>
                <w:szCs w:val="20"/>
              </w:rPr>
              <w:t>82.6%</w:t>
            </w:r>
          </w:p>
        </w:tc>
      </w:tr>
    </w:tbl>
    <w:p w14:paraId="615DACA2" w14:textId="77777777" w:rsidR="00366340" w:rsidRDefault="00366340" w:rsidP="00366340"/>
    <w:p w14:paraId="629D0D8C" w14:textId="3094FA58" w:rsidR="00321E09" w:rsidRDefault="001D1814" w:rsidP="00C70F01">
      <w:r>
        <w:t>T</w:t>
      </w:r>
      <w:r w:rsidRPr="00CE21AB">
        <w:t>able 4.</w:t>
      </w:r>
      <w:r>
        <w:t>7</w:t>
      </w:r>
      <w:r w:rsidRPr="00CE21AB">
        <w:t xml:space="preserve"> compares the </w:t>
      </w:r>
      <w:r>
        <w:t>observed loads and FSLs for the February 6</w:t>
      </w:r>
      <w:r w:rsidRPr="001D1814">
        <w:rPr>
          <w:vertAlign w:val="superscript"/>
        </w:rPr>
        <w:t>th</w:t>
      </w:r>
      <w:r>
        <w:t xml:space="preserve"> event day. In aggregate, SCE’s BIP program achieved 9</w:t>
      </w:r>
      <w:r w:rsidR="008E0538">
        <w:t>3</w:t>
      </w:r>
      <w:r>
        <w:t xml:space="preserve"> percent of the reduction required to meet its FSL. </w:t>
      </w:r>
    </w:p>
    <w:p w14:paraId="5FDB5242" w14:textId="77777777" w:rsidR="001D1814" w:rsidRDefault="001D1814" w:rsidP="00C70F01"/>
    <w:p w14:paraId="3E1D95F1" w14:textId="7A363533" w:rsidR="00321E09" w:rsidRPr="00852320" w:rsidRDefault="00321E09" w:rsidP="00413FAA">
      <w:pPr>
        <w:pStyle w:val="TableCaption"/>
        <w:keepNext/>
        <w:keepLines/>
      </w:pPr>
      <w:bookmarkStart w:id="77" w:name="_Toc415489014"/>
      <w:r w:rsidRPr="00852320">
        <w:t>Table 4.</w:t>
      </w:r>
      <w:r w:rsidR="006C0BBF" w:rsidRPr="00852320">
        <w:t>7</w:t>
      </w:r>
      <w:r w:rsidRPr="00852320">
        <w:t xml:space="preserve">: </w:t>
      </w:r>
      <w:r w:rsidR="009D6A24" w:rsidRPr="00852320">
        <w:t xml:space="preserve">Average Hourly </w:t>
      </w:r>
      <w:r w:rsidR="009D6A24">
        <w:t>Observed Loads and FSLs</w:t>
      </w:r>
      <w:r w:rsidRPr="00852320">
        <w:rPr>
          <w:i/>
        </w:rPr>
        <w:t>, SCE</w:t>
      </w:r>
      <w:bookmarkEnd w:id="7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995"/>
        <w:gridCol w:w="1397"/>
        <w:gridCol w:w="1963"/>
        <w:gridCol w:w="2231"/>
        <w:gridCol w:w="1509"/>
      </w:tblGrid>
      <w:tr w:rsidR="009D6A24" w14:paraId="565887A1" w14:textId="77777777" w:rsidTr="00A34732">
        <w:trPr>
          <w:jc w:val="center"/>
        </w:trPr>
        <w:tc>
          <w:tcPr>
            <w:tcW w:w="0" w:type="auto"/>
            <w:shd w:val="clear" w:color="auto" w:fill="D9E2F3"/>
            <w:vAlign w:val="center"/>
          </w:tcPr>
          <w:p w14:paraId="06747565" w14:textId="77777777" w:rsidR="009D6A24" w:rsidRPr="007E0A27" w:rsidRDefault="009D6A24" w:rsidP="009D6A24">
            <w:pPr>
              <w:keepNext/>
              <w:keepLines/>
              <w:jc w:val="center"/>
              <w:rPr>
                <w:rFonts w:ascii="Arial" w:hAnsi="Arial" w:cs="Arial"/>
                <w:b/>
                <w:sz w:val="20"/>
                <w:szCs w:val="20"/>
              </w:rPr>
            </w:pPr>
            <w:r w:rsidRPr="007E0A27">
              <w:rPr>
                <w:rFonts w:ascii="Arial" w:hAnsi="Arial" w:cs="Arial"/>
                <w:b/>
                <w:sz w:val="20"/>
                <w:szCs w:val="20"/>
              </w:rPr>
              <w:t>Event</w:t>
            </w:r>
          </w:p>
        </w:tc>
        <w:tc>
          <w:tcPr>
            <w:tcW w:w="0" w:type="auto"/>
            <w:shd w:val="clear" w:color="auto" w:fill="D9E2F3"/>
            <w:vAlign w:val="center"/>
          </w:tcPr>
          <w:p w14:paraId="3CC84E67" w14:textId="77777777" w:rsidR="009D6A24" w:rsidRPr="007E0A27" w:rsidRDefault="009D6A24" w:rsidP="009D6A24">
            <w:pPr>
              <w:keepNext/>
              <w:keepLines/>
              <w:jc w:val="center"/>
              <w:rPr>
                <w:rFonts w:ascii="Arial" w:hAnsi="Arial" w:cs="Arial"/>
                <w:b/>
                <w:sz w:val="20"/>
                <w:szCs w:val="20"/>
              </w:rPr>
            </w:pPr>
            <w:r w:rsidRPr="007E0A27">
              <w:rPr>
                <w:rFonts w:ascii="Arial" w:hAnsi="Arial" w:cs="Arial"/>
                <w:b/>
                <w:sz w:val="20"/>
                <w:szCs w:val="20"/>
              </w:rPr>
              <w:t>Date</w:t>
            </w:r>
          </w:p>
        </w:tc>
        <w:tc>
          <w:tcPr>
            <w:tcW w:w="0" w:type="auto"/>
            <w:shd w:val="clear" w:color="auto" w:fill="D9E2F3"/>
            <w:vAlign w:val="center"/>
          </w:tcPr>
          <w:p w14:paraId="6B748D6C" w14:textId="77777777" w:rsidR="009D6A24" w:rsidRPr="007E0A27" w:rsidRDefault="009D6A24" w:rsidP="009D6A24">
            <w:pPr>
              <w:keepNext/>
              <w:keepLines/>
              <w:jc w:val="center"/>
              <w:rPr>
                <w:rFonts w:ascii="Arial" w:hAnsi="Arial" w:cs="Arial"/>
                <w:b/>
                <w:sz w:val="20"/>
                <w:szCs w:val="20"/>
              </w:rPr>
            </w:pPr>
            <w:r w:rsidRPr="007E0A27">
              <w:rPr>
                <w:rFonts w:ascii="Arial" w:hAnsi="Arial" w:cs="Arial"/>
                <w:b/>
                <w:sz w:val="20"/>
                <w:szCs w:val="20"/>
              </w:rPr>
              <w:t>Day of Week</w:t>
            </w:r>
          </w:p>
        </w:tc>
        <w:tc>
          <w:tcPr>
            <w:tcW w:w="0" w:type="auto"/>
            <w:shd w:val="clear" w:color="auto" w:fill="D9E2F3"/>
          </w:tcPr>
          <w:p w14:paraId="3F66AA5C" w14:textId="77777777" w:rsidR="009D6A24" w:rsidRDefault="009D6A24" w:rsidP="009D6A24">
            <w:pPr>
              <w:keepNext/>
              <w:keepLines/>
              <w:jc w:val="center"/>
              <w:rPr>
                <w:rFonts w:ascii="Arial" w:hAnsi="Arial" w:cs="Arial"/>
                <w:b/>
                <w:sz w:val="20"/>
                <w:szCs w:val="20"/>
              </w:rPr>
            </w:pPr>
            <w:r w:rsidRPr="007E0A27">
              <w:rPr>
                <w:rFonts w:ascii="Arial" w:hAnsi="Arial" w:cs="Arial"/>
                <w:b/>
                <w:sz w:val="20"/>
                <w:szCs w:val="20"/>
              </w:rPr>
              <w:t xml:space="preserve">Average </w:t>
            </w:r>
            <w:r>
              <w:rPr>
                <w:rFonts w:ascii="Arial" w:hAnsi="Arial" w:cs="Arial"/>
                <w:b/>
                <w:sz w:val="20"/>
                <w:szCs w:val="20"/>
              </w:rPr>
              <w:t xml:space="preserve">Observed </w:t>
            </w:r>
          </w:p>
          <w:p w14:paraId="7162576D" w14:textId="60A2600D" w:rsidR="009D6A24" w:rsidRPr="007E0A27" w:rsidRDefault="009D6A24" w:rsidP="009D6A24">
            <w:pPr>
              <w:keepNext/>
              <w:keepLines/>
              <w:jc w:val="center"/>
              <w:rPr>
                <w:rFonts w:ascii="Arial" w:hAnsi="Arial" w:cs="Arial"/>
                <w:b/>
                <w:sz w:val="20"/>
                <w:szCs w:val="20"/>
              </w:rPr>
            </w:pPr>
            <w:r>
              <w:rPr>
                <w:rFonts w:ascii="Arial" w:hAnsi="Arial" w:cs="Arial"/>
                <w:b/>
                <w:sz w:val="20"/>
                <w:szCs w:val="20"/>
              </w:rPr>
              <w:t>Load</w:t>
            </w:r>
            <w:r w:rsidRPr="007E0A27">
              <w:rPr>
                <w:rFonts w:ascii="Arial" w:hAnsi="Arial" w:cs="Arial"/>
                <w:b/>
                <w:sz w:val="20"/>
                <w:szCs w:val="20"/>
              </w:rPr>
              <w:t xml:space="preserve"> (MW)</w:t>
            </w:r>
          </w:p>
        </w:tc>
        <w:tc>
          <w:tcPr>
            <w:tcW w:w="0" w:type="auto"/>
            <w:shd w:val="clear" w:color="auto" w:fill="D9E2F3"/>
            <w:vAlign w:val="center"/>
          </w:tcPr>
          <w:p w14:paraId="05F65626" w14:textId="77777777" w:rsidR="009D6A24" w:rsidRDefault="009D6A24" w:rsidP="009D6A24">
            <w:pPr>
              <w:keepNext/>
              <w:keepLines/>
              <w:jc w:val="center"/>
              <w:rPr>
                <w:rFonts w:ascii="Arial" w:hAnsi="Arial" w:cs="Arial"/>
                <w:b/>
                <w:sz w:val="20"/>
                <w:szCs w:val="20"/>
              </w:rPr>
            </w:pPr>
            <w:r>
              <w:rPr>
                <w:rFonts w:ascii="Arial" w:hAnsi="Arial" w:cs="Arial"/>
                <w:b/>
                <w:sz w:val="20"/>
                <w:szCs w:val="20"/>
              </w:rPr>
              <w:t xml:space="preserve">Average Firm Service </w:t>
            </w:r>
          </w:p>
          <w:p w14:paraId="64C0DFB7" w14:textId="565392DF" w:rsidR="009D6A24" w:rsidRPr="007E0A27" w:rsidRDefault="009D6A24" w:rsidP="009D6A24">
            <w:pPr>
              <w:keepNext/>
              <w:keepLines/>
              <w:jc w:val="center"/>
              <w:rPr>
                <w:rFonts w:ascii="Arial" w:hAnsi="Arial" w:cs="Arial"/>
                <w:b/>
                <w:sz w:val="20"/>
                <w:szCs w:val="20"/>
              </w:rPr>
            </w:pPr>
            <w:r>
              <w:rPr>
                <w:rFonts w:ascii="Arial" w:hAnsi="Arial" w:cs="Arial"/>
                <w:b/>
                <w:sz w:val="20"/>
                <w:szCs w:val="20"/>
              </w:rPr>
              <w:t>Level</w:t>
            </w:r>
            <w:r w:rsidRPr="007E0A27">
              <w:rPr>
                <w:rFonts w:ascii="Arial" w:hAnsi="Arial" w:cs="Arial"/>
                <w:b/>
                <w:sz w:val="20"/>
                <w:szCs w:val="20"/>
              </w:rPr>
              <w:t xml:space="preserve"> (MW)</w:t>
            </w:r>
          </w:p>
        </w:tc>
        <w:tc>
          <w:tcPr>
            <w:tcW w:w="0" w:type="auto"/>
            <w:shd w:val="clear" w:color="auto" w:fill="D9E2F3"/>
          </w:tcPr>
          <w:p w14:paraId="4187525A" w14:textId="77777777" w:rsidR="009D6A24" w:rsidRDefault="009D6A24" w:rsidP="009D6A24">
            <w:pPr>
              <w:keepNext/>
              <w:keepLines/>
              <w:jc w:val="center"/>
              <w:rPr>
                <w:rFonts w:ascii="Arial" w:hAnsi="Arial" w:cs="Arial"/>
                <w:b/>
                <w:sz w:val="20"/>
                <w:szCs w:val="20"/>
              </w:rPr>
            </w:pPr>
            <w:r>
              <w:rPr>
                <w:rFonts w:ascii="Arial" w:hAnsi="Arial" w:cs="Arial"/>
                <w:b/>
                <w:sz w:val="20"/>
                <w:szCs w:val="20"/>
              </w:rPr>
              <w:t xml:space="preserve">Estimated LI / </w:t>
            </w:r>
          </w:p>
          <w:p w14:paraId="565357B4" w14:textId="7F6F0F99" w:rsidR="009D6A24" w:rsidRPr="007E0A27" w:rsidRDefault="009D6A24" w:rsidP="009D6A24">
            <w:pPr>
              <w:keepNext/>
              <w:keepLines/>
              <w:jc w:val="center"/>
              <w:rPr>
                <w:rFonts w:ascii="Arial" w:hAnsi="Arial" w:cs="Arial"/>
                <w:b/>
                <w:sz w:val="20"/>
                <w:szCs w:val="20"/>
              </w:rPr>
            </w:pPr>
            <w:r>
              <w:rPr>
                <w:rFonts w:ascii="Arial" w:hAnsi="Arial" w:cs="Arial"/>
                <w:b/>
                <w:sz w:val="20"/>
                <w:szCs w:val="20"/>
              </w:rPr>
              <w:t>LI at FSL</w:t>
            </w:r>
          </w:p>
        </w:tc>
      </w:tr>
      <w:tr w:rsidR="009D6A24" w14:paraId="13312CFF" w14:textId="77777777" w:rsidTr="009D6A24">
        <w:trPr>
          <w:jc w:val="center"/>
        </w:trPr>
        <w:tc>
          <w:tcPr>
            <w:tcW w:w="0" w:type="auto"/>
            <w:vAlign w:val="center"/>
          </w:tcPr>
          <w:p w14:paraId="56E7E122" w14:textId="77777777" w:rsidR="009D6A24" w:rsidRPr="007E0A27" w:rsidRDefault="009D6A24" w:rsidP="009D6A24">
            <w:pPr>
              <w:keepNext/>
              <w:keepLines/>
              <w:jc w:val="center"/>
              <w:rPr>
                <w:rFonts w:ascii="Arial" w:hAnsi="Arial" w:cs="Arial"/>
                <w:sz w:val="20"/>
                <w:szCs w:val="20"/>
              </w:rPr>
            </w:pPr>
            <w:r w:rsidRPr="007E0A27">
              <w:rPr>
                <w:rFonts w:ascii="Arial" w:hAnsi="Arial" w:cs="Arial"/>
                <w:sz w:val="20"/>
                <w:szCs w:val="20"/>
              </w:rPr>
              <w:t>1</w:t>
            </w:r>
          </w:p>
        </w:tc>
        <w:tc>
          <w:tcPr>
            <w:tcW w:w="0" w:type="auto"/>
            <w:vAlign w:val="center"/>
          </w:tcPr>
          <w:p w14:paraId="18B4AF7E" w14:textId="51F0A65B" w:rsidR="009D6A24" w:rsidRPr="007E0A27" w:rsidRDefault="009D6A24" w:rsidP="009D6A24">
            <w:pPr>
              <w:keepNext/>
              <w:keepLines/>
              <w:jc w:val="center"/>
              <w:rPr>
                <w:rFonts w:ascii="Arial" w:hAnsi="Arial" w:cs="Arial"/>
                <w:sz w:val="20"/>
                <w:szCs w:val="20"/>
              </w:rPr>
            </w:pPr>
            <w:r>
              <w:rPr>
                <w:rFonts w:ascii="Arial" w:hAnsi="Arial" w:cs="Arial"/>
                <w:sz w:val="20"/>
                <w:szCs w:val="20"/>
              </w:rPr>
              <w:t>2/6/2014</w:t>
            </w:r>
          </w:p>
        </w:tc>
        <w:tc>
          <w:tcPr>
            <w:tcW w:w="0" w:type="auto"/>
            <w:vAlign w:val="center"/>
          </w:tcPr>
          <w:p w14:paraId="66BD3BF4" w14:textId="623BEDD7" w:rsidR="009D6A24" w:rsidRPr="007E0A27" w:rsidRDefault="009D6A24" w:rsidP="009D6A24">
            <w:pPr>
              <w:keepNext/>
              <w:keepLines/>
              <w:jc w:val="center"/>
              <w:rPr>
                <w:rFonts w:ascii="Arial" w:hAnsi="Arial" w:cs="Arial"/>
                <w:sz w:val="20"/>
                <w:szCs w:val="20"/>
              </w:rPr>
            </w:pPr>
            <w:r>
              <w:rPr>
                <w:rFonts w:ascii="Arial" w:hAnsi="Arial" w:cs="Arial"/>
                <w:sz w:val="20"/>
                <w:szCs w:val="20"/>
              </w:rPr>
              <w:t>Thursday</w:t>
            </w:r>
          </w:p>
        </w:tc>
        <w:tc>
          <w:tcPr>
            <w:tcW w:w="0" w:type="auto"/>
            <w:vAlign w:val="center"/>
          </w:tcPr>
          <w:p w14:paraId="04B1EEEA" w14:textId="2BFAC00A" w:rsidR="009D6A24" w:rsidRPr="000E113A" w:rsidRDefault="008E0538" w:rsidP="008E0538">
            <w:pPr>
              <w:jc w:val="center"/>
              <w:rPr>
                <w:rFonts w:ascii="Arial" w:hAnsi="Arial" w:cs="Arial"/>
                <w:sz w:val="20"/>
                <w:szCs w:val="20"/>
              </w:rPr>
            </w:pPr>
            <w:r>
              <w:rPr>
                <w:rFonts w:ascii="Arial" w:hAnsi="Arial" w:cs="Arial"/>
                <w:sz w:val="20"/>
                <w:szCs w:val="20"/>
              </w:rPr>
              <w:t>13</w:t>
            </w:r>
            <w:r w:rsidR="009D6A24">
              <w:rPr>
                <w:rFonts w:ascii="Arial" w:hAnsi="Arial" w:cs="Arial"/>
                <w:sz w:val="20"/>
                <w:szCs w:val="20"/>
              </w:rPr>
              <w:t>1.</w:t>
            </w:r>
            <w:r>
              <w:rPr>
                <w:rFonts w:ascii="Arial" w:hAnsi="Arial" w:cs="Arial"/>
                <w:sz w:val="20"/>
                <w:szCs w:val="20"/>
              </w:rPr>
              <w:t>2</w:t>
            </w:r>
          </w:p>
        </w:tc>
        <w:tc>
          <w:tcPr>
            <w:tcW w:w="0" w:type="auto"/>
            <w:vAlign w:val="center"/>
          </w:tcPr>
          <w:p w14:paraId="3927305E" w14:textId="48345884" w:rsidR="009D6A24" w:rsidRPr="000E113A" w:rsidRDefault="00366340" w:rsidP="009D6A24">
            <w:pPr>
              <w:jc w:val="center"/>
              <w:rPr>
                <w:rFonts w:ascii="Arial" w:hAnsi="Arial" w:cs="Arial"/>
                <w:sz w:val="20"/>
                <w:szCs w:val="20"/>
              </w:rPr>
            </w:pPr>
            <w:r>
              <w:rPr>
                <w:rFonts w:ascii="Arial" w:hAnsi="Arial" w:cs="Arial"/>
                <w:sz w:val="20"/>
                <w:szCs w:val="20"/>
              </w:rPr>
              <w:t>82.7</w:t>
            </w:r>
          </w:p>
        </w:tc>
        <w:tc>
          <w:tcPr>
            <w:tcW w:w="0" w:type="auto"/>
            <w:vAlign w:val="center"/>
          </w:tcPr>
          <w:p w14:paraId="2F776A2E" w14:textId="221D3EA6" w:rsidR="009D6A24" w:rsidRPr="000E113A" w:rsidRDefault="008E0538" w:rsidP="009D6A24">
            <w:pPr>
              <w:jc w:val="center"/>
              <w:rPr>
                <w:rFonts w:ascii="Arial" w:hAnsi="Arial" w:cs="Arial"/>
                <w:sz w:val="20"/>
                <w:szCs w:val="20"/>
              </w:rPr>
            </w:pPr>
            <w:r>
              <w:rPr>
                <w:rFonts w:ascii="Arial" w:hAnsi="Arial" w:cs="Arial"/>
                <w:sz w:val="20"/>
                <w:szCs w:val="20"/>
              </w:rPr>
              <w:t>93</w:t>
            </w:r>
            <w:r w:rsidR="00366340">
              <w:rPr>
                <w:rFonts w:ascii="Arial" w:hAnsi="Arial" w:cs="Arial"/>
                <w:sz w:val="20"/>
                <w:szCs w:val="20"/>
              </w:rPr>
              <w:t>%</w:t>
            </w:r>
          </w:p>
        </w:tc>
      </w:tr>
    </w:tbl>
    <w:p w14:paraId="037103A9" w14:textId="77777777" w:rsidR="00321E09" w:rsidRDefault="00321E09" w:rsidP="00DF6FCB"/>
    <w:p w14:paraId="21A62298" w14:textId="242ACAEF" w:rsidR="00321E09" w:rsidRDefault="00321E09" w:rsidP="00C70F01">
      <w:r>
        <w:t>Table 4.</w:t>
      </w:r>
      <w:r w:rsidR="00B3661A">
        <w:t>8</w:t>
      </w:r>
      <w:r>
        <w:t xml:space="preserve"> summarize</w:t>
      </w:r>
      <w:r w:rsidR="001D1814">
        <w:t>s</w:t>
      </w:r>
      <w:r>
        <w:t xml:space="preserve"> average hourly load impacts</w:t>
      </w:r>
      <w:r w:rsidR="001D1814">
        <w:t xml:space="preserve"> by</w:t>
      </w:r>
      <w:r>
        <w:t xml:space="preserve"> LCA</w:t>
      </w:r>
      <w:r w:rsidR="001D1814">
        <w:t xml:space="preserve"> and location (South Orange County, South of Lugo, and elsewhere)</w:t>
      </w:r>
      <w:r>
        <w:t>.</w:t>
      </w:r>
      <w:r w:rsidR="008A6AC6">
        <w:t xml:space="preserve"> </w:t>
      </w:r>
      <w:r w:rsidR="001D1814">
        <w:t>The majority of the load impact comes from customers in the LA Basin.</w:t>
      </w:r>
      <w:r w:rsidR="00A94317">
        <w:t xml:space="preserve"> Note that portions of the table have been removed due to confidentiality concerns.</w:t>
      </w:r>
    </w:p>
    <w:p w14:paraId="7D89DD88" w14:textId="77777777" w:rsidR="00670145" w:rsidRDefault="00670145" w:rsidP="00C70F01"/>
    <w:p w14:paraId="2AC45969" w14:textId="438D5507" w:rsidR="00321E09" w:rsidRPr="00852320" w:rsidRDefault="00321E09" w:rsidP="00435763">
      <w:pPr>
        <w:pStyle w:val="TableCaption"/>
        <w:keepNext/>
        <w:keepLines/>
      </w:pPr>
      <w:bookmarkStart w:id="78" w:name="_Toc415489015"/>
      <w:r w:rsidRPr="00852320">
        <w:lastRenderedPageBreak/>
        <w:t>Table 4.</w:t>
      </w:r>
      <w:r w:rsidR="001D1814">
        <w:t>8</w:t>
      </w:r>
      <w:r w:rsidRPr="00852320">
        <w:t>: Average</w:t>
      </w:r>
      <w:r w:rsidR="00742A4F">
        <w:t xml:space="preserve"> Event-day</w:t>
      </w:r>
      <w:r w:rsidR="009D6A24">
        <w:t xml:space="preserve"> Hourly Load Impacts – SCE </w:t>
      </w:r>
      <w:r w:rsidRPr="00852320">
        <w:t>B</w:t>
      </w:r>
      <w:r w:rsidR="009D6A24">
        <w:t>I</w:t>
      </w:r>
      <w:r w:rsidRPr="00852320">
        <w:t xml:space="preserve">P, </w:t>
      </w:r>
      <w:r w:rsidRPr="00852320">
        <w:rPr>
          <w:i/>
        </w:rPr>
        <w:t>by LCA</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1128"/>
        <w:gridCol w:w="2005"/>
        <w:gridCol w:w="1546"/>
        <w:gridCol w:w="1660"/>
        <w:gridCol w:w="784"/>
      </w:tblGrid>
      <w:tr w:rsidR="00321E09" w14:paraId="37CAF7D2" w14:textId="77777777" w:rsidTr="009D6A24">
        <w:tc>
          <w:tcPr>
            <w:tcW w:w="1703" w:type="dxa"/>
            <w:shd w:val="clear" w:color="auto" w:fill="D9E2F3"/>
            <w:vAlign w:val="center"/>
          </w:tcPr>
          <w:p w14:paraId="49A6CA77" w14:textId="77777777" w:rsidR="00321E09" w:rsidRPr="007E0A27" w:rsidRDefault="00321E09" w:rsidP="00435763">
            <w:pPr>
              <w:keepNext/>
              <w:keepLines/>
              <w:jc w:val="center"/>
              <w:rPr>
                <w:rFonts w:ascii="Arial" w:hAnsi="Arial" w:cs="Arial"/>
                <w:b/>
                <w:sz w:val="20"/>
                <w:szCs w:val="20"/>
              </w:rPr>
            </w:pPr>
            <w:r w:rsidRPr="007E0A27">
              <w:rPr>
                <w:rFonts w:ascii="Arial" w:hAnsi="Arial" w:cs="Arial"/>
                <w:b/>
                <w:sz w:val="20"/>
                <w:szCs w:val="20"/>
              </w:rPr>
              <w:t>Local Capacity Area</w:t>
            </w:r>
          </w:p>
        </w:tc>
        <w:tc>
          <w:tcPr>
            <w:tcW w:w="1128" w:type="dxa"/>
            <w:shd w:val="clear" w:color="auto" w:fill="D9E2F3"/>
            <w:vAlign w:val="center"/>
          </w:tcPr>
          <w:p w14:paraId="1EB20F59" w14:textId="77777777" w:rsidR="00321E09" w:rsidRPr="007E0A27" w:rsidRDefault="00690746" w:rsidP="00435763">
            <w:pPr>
              <w:keepNext/>
              <w:keepLines/>
              <w:jc w:val="center"/>
              <w:rPr>
                <w:rFonts w:ascii="Arial" w:hAnsi="Arial" w:cs="Arial"/>
                <w:b/>
                <w:sz w:val="20"/>
                <w:szCs w:val="20"/>
              </w:rPr>
            </w:pPr>
            <w:r>
              <w:rPr>
                <w:rFonts w:ascii="Arial" w:hAnsi="Arial" w:cs="Arial"/>
                <w:b/>
                <w:sz w:val="20"/>
                <w:szCs w:val="20"/>
              </w:rPr>
              <w:t># of Service Accounts</w:t>
            </w:r>
          </w:p>
        </w:tc>
        <w:tc>
          <w:tcPr>
            <w:tcW w:w="2005" w:type="dxa"/>
            <w:shd w:val="clear" w:color="auto" w:fill="D9E2F3"/>
            <w:vAlign w:val="center"/>
          </w:tcPr>
          <w:p w14:paraId="30039430" w14:textId="77777777" w:rsidR="00321E09" w:rsidRPr="007E0A27" w:rsidRDefault="00321E09" w:rsidP="00435763">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1546" w:type="dxa"/>
            <w:shd w:val="clear" w:color="auto" w:fill="D9E2F3"/>
            <w:vAlign w:val="center"/>
          </w:tcPr>
          <w:p w14:paraId="1458BA86" w14:textId="77777777" w:rsidR="00321E09" w:rsidRPr="007E0A27" w:rsidRDefault="00321E09" w:rsidP="00435763">
            <w:pPr>
              <w:keepNext/>
              <w:keepLines/>
              <w:jc w:val="center"/>
              <w:rPr>
                <w:rFonts w:ascii="Arial" w:hAnsi="Arial" w:cs="Arial"/>
                <w:b/>
                <w:sz w:val="20"/>
                <w:szCs w:val="20"/>
              </w:rPr>
            </w:pPr>
            <w:r w:rsidRPr="007E0A27">
              <w:rPr>
                <w:rFonts w:ascii="Arial" w:hAnsi="Arial" w:cs="Arial"/>
                <w:b/>
                <w:sz w:val="20"/>
                <w:szCs w:val="20"/>
              </w:rPr>
              <w:t>Observed Load (MW)</w:t>
            </w:r>
          </w:p>
        </w:tc>
        <w:tc>
          <w:tcPr>
            <w:tcW w:w="1660" w:type="dxa"/>
            <w:shd w:val="clear" w:color="auto" w:fill="D9E2F3"/>
            <w:vAlign w:val="center"/>
          </w:tcPr>
          <w:p w14:paraId="2AF86C4A" w14:textId="77777777" w:rsidR="00321E09" w:rsidRPr="007E0A27" w:rsidRDefault="00321E09" w:rsidP="00435763">
            <w:pPr>
              <w:keepNext/>
              <w:keepLines/>
              <w:jc w:val="center"/>
              <w:rPr>
                <w:rFonts w:ascii="Arial" w:hAnsi="Arial" w:cs="Arial"/>
                <w:b/>
                <w:sz w:val="20"/>
                <w:szCs w:val="20"/>
              </w:rPr>
            </w:pPr>
            <w:r w:rsidRPr="007E0A27">
              <w:rPr>
                <w:rFonts w:ascii="Arial" w:hAnsi="Arial" w:cs="Arial"/>
                <w:b/>
                <w:sz w:val="20"/>
                <w:szCs w:val="20"/>
              </w:rPr>
              <w:t>Estimated Load Impact (MW)</w:t>
            </w:r>
          </w:p>
        </w:tc>
        <w:tc>
          <w:tcPr>
            <w:tcW w:w="0" w:type="auto"/>
            <w:shd w:val="clear" w:color="auto" w:fill="D9E2F3"/>
            <w:vAlign w:val="center"/>
          </w:tcPr>
          <w:p w14:paraId="175F22E9" w14:textId="77777777" w:rsidR="00321E09" w:rsidRPr="007E0A27" w:rsidRDefault="00321E09" w:rsidP="00435763">
            <w:pPr>
              <w:keepNext/>
              <w:keepLines/>
              <w:jc w:val="center"/>
              <w:rPr>
                <w:rFonts w:ascii="Arial" w:hAnsi="Arial" w:cs="Arial"/>
                <w:b/>
                <w:sz w:val="20"/>
                <w:szCs w:val="20"/>
              </w:rPr>
            </w:pPr>
            <w:r w:rsidRPr="007E0A27">
              <w:rPr>
                <w:rFonts w:ascii="Arial" w:hAnsi="Arial" w:cs="Arial"/>
                <w:b/>
                <w:sz w:val="20"/>
                <w:szCs w:val="20"/>
              </w:rPr>
              <w:t>% LI</w:t>
            </w:r>
          </w:p>
        </w:tc>
      </w:tr>
      <w:tr w:rsidR="008E0538" w14:paraId="6651A48E" w14:textId="77777777" w:rsidTr="008E0538">
        <w:tc>
          <w:tcPr>
            <w:tcW w:w="1703" w:type="dxa"/>
            <w:vAlign w:val="center"/>
          </w:tcPr>
          <w:p w14:paraId="00920F74" w14:textId="77777777" w:rsidR="008E0538" w:rsidRPr="00E470E1" w:rsidRDefault="008E0538" w:rsidP="008E0538">
            <w:pPr>
              <w:keepNext/>
              <w:keepLines/>
              <w:rPr>
                <w:rFonts w:ascii="Arial" w:hAnsi="Arial" w:cs="Arial"/>
                <w:sz w:val="20"/>
                <w:szCs w:val="20"/>
              </w:rPr>
            </w:pPr>
            <w:r w:rsidRPr="00E470E1">
              <w:rPr>
                <w:rFonts w:ascii="Arial" w:hAnsi="Arial" w:cs="Arial"/>
                <w:sz w:val="20"/>
                <w:szCs w:val="20"/>
              </w:rPr>
              <w:t>LA Basin</w:t>
            </w:r>
          </w:p>
        </w:tc>
        <w:tc>
          <w:tcPr>
            <w:tcW w:w="1128" w:type="dxa"/>
            <w:vAlign w:val="center"/>
          </w:tcPr>
          <w:p w14:paraId="7E6798A6" w14:textId="075C4703" w:rsidR="008E0538" w:rsidRPr="008E0538" w:rsidRDefault="008E0538" w:rsidP="008E0538">
            <w:pPr>
              <w:jc w:val="right"/>
              <w:rPr>
                <w:rFonts w:ascii="Arial" w:hAnsi="Arial" w:cs="Arial"/>
                <w:sz w:val="20"/>
                <w:szCs w:val="20"/>
              </w:rPr>
            </w:pPr>
            <w:r w:rsidRPr="008E0538">
              <w:rPr>
                <w:rFonts w:ascii="Arial" w:hAnsi="Arial" w:cs="Arial"/>
                <w:sz w:val="20"/>
                <w:szCs w:val="20"/>
              </w:rPr>
              <w:t>533</w:t>
            </w:r>
          </w:p>
        </w:tc>
        <w:tc>
          <w:tcPr>
            <w:tcW w:w="2005" w:type="dxa"/>
            <w:vAlign w:val="center"/>
          </w:tcPr>
          <w:p w14:paraId="67580B65" w14:textId="44213133" w:rsidR="008E0538" w:rsidRPr="008E0538" w:rsidRDefault="008E0538" w:rsidP="008E0538">
            <w:pPr>
              <w:jc w:val="right"/>
              <w:rPr>
                <w:rFonts w:ascii="Arial" w:hAnsi="Arial" w:cs="Arial"/>
                <w:sz w:val="20"/>
                <w:szCs w:val="20"/>
              </w:rPr>
            </w:pPr>
            <w:r w:rsidRPr="008E0538">
              <w:rPr>
                <w:rFonts w:ascii="Arial" w:hAnsi="Arial" w:cs="Arial"/>
                <w:sz w:val="20"/>
                <w:szCs w:val="20"/>
              </w:rPr>
              <w:t>570.9</w:t>
            </w:r>
          </w:p>
        </w:tc>
        <w:tc>
          <w:tcPr>
            <w:tcW w:w="1546" w:type="dxa"/>
            <w:vAlign w:val="center"/>
          </w:tcPr>
          <w:p w14:paraId="37BA0712" w14:textId="0BC4D815" w:rsidR="008E0538" w:rsidRPr="008E0538" w:rsidRDefault="008E0538" w:rsidP="008E0538">
            <w:pPr>
              <w:jc w:val="right"/>
              <w:rPr>
                <w:rFonts w:ascii="Arial" w:hAnsi="Arial" w:cs="Arial"/>
                <w:sz w:val="20"/>
                <w:szCs w:val="20"/>
              </w:rPr>
            </w:pPr>
            <w:r w:rsidRPr="008E0538">
              <w:rPr>
                <w:rFonts w:ascii="Arial" w:hAnsi="Arial" w:cs="Arial"/>
                <w:sz w:val="20"/>
                <w:szCs w:val="20"/>
              </w:rPr>
              <w:t>108.0</w:t>
            </w:r>
          </w:p>
        </w:tc>
        <w:tc>
          <w:tcPr>
            <w:tcW w:w="1660" w:type="dxa"/>
            <w:vAlign w:val="center"/>
          </w:tcPr>
          <w:p w14:paraId="76AE0E29" w14:textId="0192DB8E" w:rsidR="008E0538" w:rsidRPr="008E0538" w:rsidRDefault="008E0538" w:rsidP="008E0538">
            <w:pPr>
              <w:jc w:val="right"/>
              <w:rPr>
                <w:rFonts w:ascii="Arial" w:hAnsi="Arial" w:cs="Arial"/>
                <w:sz w:val="20"/>
                <w:szCs w:val="20"/>
              </w:rPr>
            </w:pPr>
            <w:r w:rsidRPr="008E0538">
              <w:rPr>
                <w:rFonts w:ascii="Arial" w:hAnsi="Arial" w:cs="Arial"/>
                <w:sz w:val="20"/>
                <w:szCs w:val="20"/>
              </w:rPr>
              <w:t>462.9</w:t>
            </w:r>
          </w:p>
        </w:tc>
        <w:tc>
          <w:tcPr>
            <w:tcW w:w="0" w:type="auto"/>
            <w:vAlign w:val="center"/>
          </w:tcPr>
          <w:p w14:paraId="0E6225D2" w14:textId="0F9D8E5E" w:rsidR="008E0538" w:rsidRPr="008E0538" w:rsidRDefault="008E0538" w:rsidP="008E0538">
            <w:pPr>
              <w:jc w:val="right"/>
              <w:rPr>
                <w:rFonts w:ascii="Arial" w:hAnsi="Arial" w:cs="Arial"/>
                <w:sz w:val="20"/>
                <w:szCs w:val="20"/>
              </w:rPr>
            </w:pPr>
            <w:r w:rsidRPr="008E0538">
              <w:rPr>
                <w:rFonts w:ascii="Arial" w:hAnsi="Arial" w:cs="Arial"/>
                <w:sz w:val="20"/>
                <w:szCs w:val="20"/>
              </w:rPr>
              <w:t>81.1%</w:t>
            </w:r>
          </w:p>
        </w:tc>
      </w:tr>
      <w:tr w:rsidR="008E0538" w14:paraId="3260C57D" w14:textId="77777777" w:rsidTr="008E0538">
        <w:tc>
          <w:tcPr>
            <w:tcW w:w="1703" w:type="dxa"/>
            <w:vAlign w:val="center"/>
          </w:tcPr>
          <w:p w14:paraId="6522CF6C" w14:textId="77777777" w:rsidR="008E0538" w:rsidRPr="00E470E1" w:rsidRDefault="008E0538" w:rsidP="008E0538">
            <w:pPr>
              <w:keepNext/>
              <w:keepLines/>
              <w:rPr>
                <w:rFonts w:ascii="Arial" w:hAnsi="Arial" w:cs="Arial"/>
                <w:sz w:val="20"/>
                <w:szCs w:val="20"/>
              </w:rPr>
            </w:pPr>
            <w:r w:rsidRPr="00E470E1">
              <w:rPr>
                <w:rFonts w:ascii="Arial" w:hAnsi="Arial" w:cs="Arial"/>
                <w:sz w:val="20"/>
                <w:szCs w:val="20"/>
              </w:rPr>
              <w:t>Outside LA Basin</w:t>
            </w:r>
          </w:p>
        </w:tc>
        <w:tc>
          <w:tcPr>
            <w:tcW w:w="1128" w:type="dxa"/>
            <w:vAlign w:val="center"/>
          </w:tcPr>
          <w:p w14:paraId="037C5B66" w14:textId="1948E89B" w:rsidR="008E0538" w:rsidRPr="008E0538" w:rsidRDefault="008E0538" w:rsidP="008E0538">
            <w:pPr>
              <w:jc w:val="right"/>
              <w:rPr>
                <w:rFonts w:ascii="Arial" w:hAnsi="Arial" w:cs="Arial"/>
                <w:sz w:val="20"/>
                <w:szCs w:val="20"/>
              </w:rPr>
            </w:pPr>
          </w:p>
        </w:tc>
        <w:tc>
          <w:tcPr>
            <w:tcW w:w="2005" w:type="dxa"/>
            <w:vAlign w:val="center"/>
          </w:tcPr>
          <w:p w14:paraId="54CB0084" w14:textId="2517B35E" w:rsidR="008E0538" w:rsidRPr="008E0538" w:rsidRDefault="008E0538" w:rsidP="008E0538">
            <w:pPr>
              <w:jc w:val="right"/>
              <w:rPr>
                <w:rFonts w:ascii="Arial" w:hAnsi="Arial" w:cs="Arial"/>
                <w:sz w:val="20"/>
                <w:szCs w:val="20"/>
              </w:rPr>
            </w:pPr>
          </w:p>
        </w:tc>
        <w:tc>
          <w:tcPr>
            <w:tcW w:w="1546" w:type="dxa"/>
            <w:vAlign w:val="center"/>
          </w:tcPr>
          <w:p w14:paraId="0ADFA518" w14:textId="08399BB9" w:rsidR="008E0538" w:rsidRPr="008E0538" w:rsidRDefault="008E0538" w:rsidP="008E0538">
            <w:pPr>
              <w:jc w:val="right"/>
              <w:rPr>
                <w:rFonts w:ascii="Arial" w:hAnsi="Arial" w:cs="Arial"/>
                <w:sz w:val="20"/>
                <w:szCs w:val="20"/>
              </w:rPr>
            </w:pPr>
          </w:p>
        </w:tc>
        <w:tc>
          <w:tcPr>
            <w:tcW w:w="1660" w:type="dxa"/>
            <w:vAlign w:val="center"/>
          </w:tcPr>
          <w:p w14:paraId="40CD34BA" w14:textId="32A1E777" w:rsidR="008E0538" w:rsidRPr="008E0538" w:rsidRDefault="008E0538" w:rsidP="008E0538">
            <w:pPr>
              <w:jc w:val="right"/>
              <w:rPr>
                <w:rFonts w:ascii="Arial" w:hAnsi="Arial" w:cs="Arial"/>
                <w:sz w:val="20"/>
                <w:szCs w:val="20"/>
              </w:rPr>
            </w:pPr>
          </w:p>
        </w:tc>
        <w:tc>
          <w:tcPr>
            <w:tcW w:w="0" w:type="auto"/>
            <w:vAlign w:val="center"/>
          </w:tcPr>
          <w:p w14:paraId="1B6CA774" w14:textId="167F746B" w:rsidR="008E0538" w:rsidRPr="008E0538" w:rsidRDefault="008E0538" w:rsidP="008E0538">
            <w:pPr>
              <w:jc w:val="right"/>
              <w:rPr>
                <w:rFonts w:ascii="Arial" w:hAnsi="Arial" w:cs="Arial"/>
                <w:sz w:val="20"/>
                <w:szCs w:val="20"/>
              </w:rPr>
            </w:pPr>
          </w:p>
        </w:tc>
      </w:tr>
      <w:tr w:rsidR="008E0538" w14:paraId="034BA486" w14:textId="77777777" w:rsidTr="008E0538">
        <w:tc>
          <w:tcPr>
            <w:tcW w:w="1703" w:type="dxa"/>
            <w:vAlign w:val="center"/>
          </w:tcPr>
          <w:p w14:paraId="458516AA" w14:textId="77777777" w:rsidR="008E0538" w:rsidRPr="00E470E1" w:rsidRDefault="008E0538" w:rsidP="008E0538">
            <w:pPr>
              <w:keepNext/>
              <w:keepLines/>
              <w:rPr>
                <w:rFonts w:ascii="Arial" w:hAnsi="Arial" w:cs="Arial"/>
                <w:sz w:val="20"/>
                <w:szCs w:val="20"/>
              </w:rPr>
            </w:pPr>
            <w:smartTag w:uri="urn:schemas-microsoft-com:office:smarttags" w:element="place">
              <w:smartTag w:uri="urn:schemas-microsoft-com:office:smarttags" w:element="City">
                <w:r w:rsidRPr="00E470E1">
                  <w:rPr>
                    <w:rFonts w:ascii="Arial" w:hAnsi="Arial" w:cs="Arial"/>
                    <w:sz w:val="20"/>
                    <w:szCs w:val="20"/>
                  </w:rPr>
                  <w:t>Ventura</w:t>
                </w:r>
              </w:smartTag>
            </w:smartTag>
          </w:p>
        </w:tc>
        <w:tc>
          <w:tcPr>
            <w:tcW w:w="1128" w:type="dxa"/>
            <w:vAlign w:val="center"/>
          </w:tcPr>
          <w:p w14:paraId="1DC351D3" w14:textId="2B8E3B31" w:rsidR="008E0538" w:rsidRPr="008E0538" w:rsidRDefault="008E0538" w:rsidP="008E0538">
            <w:pPr>
              <w:jc w:val="right"/>
              <w:rPr>
                <w:rFonts w:ascii="Arial" w:hAnsi="Arial" w:cs="Arial"/>
                <w:sz w:val="20"/>
                <w:szCs w:val="20"/>
              </w:rPr>
            </w:pPr>
          </w:p>
        </w:tc>
        <w:tc>
          <w:tcPr>
            <w:tcW w:w="2005" w:type="dxa"/>
            <w:vAlign w:val="center"/>
          </w:tcPr>
          <w:p w14:paraId="6926CBDD" w14:textId="3DC43767" w:rsidR="008E0538" w:rsidRPr="008E0538" w:rsidRDefault="008E0538" w:rsidP="008E0538">
            <w:pPr>
              <w:jc w:val="right"/>
              <w:rPr>
                <w:rFonts w:ascii="Arial" w:hAnsi="Arial" w:cs="Arial"/>
                <w:sz w:val="20"/>
                <w:szCs w:val="20"/>
              </w:rPr>
            </w:pPr>
          </w:p>
        </w:tc>
        <w:tc>
          <w:tcPr>
            <w:tcW w:w="1546" w:type="dxa"/>
            <w:vAlign w:val="center"/>
          </w:tcPr>
          <w:p w14:paraId="1067D0AE" w14:textId="4ADA8F9C" w:rsidR="008E0538" w:rsidRPr="008E0538" w:rsidRDefault="008E0538" w:rsidP="008E0538">
            <w:pPr>
              <w:jc w:val="right"/>
              <w:rPr>
                <w:rFonts w:ascii="Arial" w:hAnsi="Arial" w:cs="Arial"/>
                <w:sz w:val="20"/>
                <w:szCs w:val="20"/>
              </w:rPr>
            </w:pPr>
          </w:p>
        </w:tc>
        <w:tc>
          <w:tcPr>
            <w:tcW w:w="1660" w:type="dxa"/>
            <w:vAlign w:val="center"/>
          </w:tcPr>
          <w:p w14:paraId="79BD4C32" w14:textId="116AD784" w:rsidR="008E0538" w:rsidRPr="008E0538" w:rsidRDefault="008E0538" w:rsidP="008E0538">
            <w:pPr>
              <w:jc w:val="right"/>
              <w:rPr>
                <w:rFonts w:ascii="Arial" w:hAnsi="Arial" w:cs="Arial"/>
                <w:sz w:val="20"/>
                <w:szCs w:val="20"/>
              </w:rPr>
            </w:pPr>
          </w:p>
        </w:tc>
        <w:tc>
          <w:tcPr>
            <w:tcW w:w="0" w:type="auto"/>
            <w:vAlign w:val="center"/>
          </w:tcPr>
          <w:p w14:paraId="6E2101B6" w14:textId="1D10326A" w:rsidR="008E0538" w:rsidRPr="008E0538" w:rsidRDefault="008E0538" w:rsidP="008E0538">
            <w:pPr>
              <w:jc w:val="right"/>
              <w:rPr>
                <w:rFonts w:ascii="Arial" w:hAnsi="Arial" w:cs="Arial"/>
                <w:sz w:val="20"/>
                <w:szCs w:val="20"/>
              </w:rPr>
            </w:pPr>
          </w:p>
        </w:tc>
      </w:tr>
      <w:tr w:rsidR="008E0538" w14:paraId="5016753F" w14:textId="77777777" w:rsidTr="008E0538">
        <w:tc>
          <w:tcPr>
            <w:tcW w:w="1703" w:type="dxa"/>
            <w:vAlign w:val="center"/>
          </w:tcPr>
          <w:p w14:paraId="07F35078" w14:textId="77777777" w:rsidR="008E0538" w:rsidRPr="00670145" w:rsidRDefault="008E0538" w:rsidP="008E0538">
            <w:pPr>
              <w:keepNext/>
              <w:keepLines/>
              <w:rPr>
                <w:rFonts w:ascii="Arial" w:hAnsi="Arial" w:cs="Arial"/>
                <w:b/>
                <w:sz w:val="20"/>
                <w:szCs w:val="20"/>
              </w:rPr>
            </w:pPr>
            <w:r w:rsidRPr="00670145">
              <w:rPr>
                <w:rFonts w:ascii="Arial" w:hAnsi="Arial" w:cs="Arial"/>
                <w:b/>
                <w:sz w:val="20"/>
                <w:szCs w:val="20"/>
              </w:rPr>
              <w:t>Total</w:t>
            </w:r>
          </w:p>
        </w:tc>
        <w:tc>
          <w:tcPr>
            <w:tcW w:w="1128" w:type="dxa"/>
            <w:vAlign w:val="center"/>
          </w:tcPr>
          <w:p w14:paraId="1C62D062" w14:textId="6BB51A5E" w:rsidR="008E0538" w:rsidRPr="008E0538" w:rsidRDefault="008E0538" w:rsidP="008E0538">
            <w:pPr>
              <w:jc w:val="right"/>
              <w:rPr>
                <w:rFonts w:ascii="Arial" w:hAnsi="Arial" w:cs="Arial"/>
                <w:b/>
                <w:sz w:val="20"/>
                <w:szCs w:val="20"/>
              </w:rPr>
            </w:pPr>
            <w:r w:rsidRPr="008E0538">
              <w:rPr>
                <w:rFonts w:ascii="Arial" w:hAnsi="Arial" w:cs="Arial"/>
                <w:b/>
                <w:sz w:val="20"/>
                <w:szCs w:val="20"/>
              </w:rPr>
              <w:t>620</w:t>
            </w:r>
          </w:p>
        </w:tc>
        <w:tc>
          <w:tcPr>
            <w:tcW w:w="2005" w:type="dxa"/>
            <w:vAlign w:val="center"/>
          </w:tcPr>
          <w:p w14:paraId="15E10055" w14:textId="239BC1D3" w:rsidR="008E0538" w:rsidRPr="008E0538" w:rsidRDefault="008E0538" w:rsidP="008E0538">
            <w:pPr>
              <w:jc w:val="right"/>
              <w:rPr>
                <w:rFonts w:ascii="Arial" w:hAnsi="Arial" w:cs="Arial"/>
                <w:b/>
                <w:sz w:val="20"/>
                <w:szCs w:val="20"/>
              </w:rPr>
            </w:pPr>
            <w:r w:rsidRPr="008E0538">
              <w:rPr>
                <w:rFonts w:ascii="Arial" w:hAnsi="Arial" w:cs="Arial"/>
                <w:b/>
                <w:sz w:val="20"/>
                <w:szCs w:val="20"/>
              </w:rPr>
              <w:t>755.1</w:t>
            </w:r>
          </w:p>
        </w:tc>
        <w:tc>
          <w:tcPr>
            <w:tcW w:w="1546" w:type="dxa"/>
            <w:vAlign w:val="center"/>
          </w:tcPr>
          <w:p w14:paraId="73D68512" w14:textId="03B40D69" w:rsidR="008E0538" w:rsidRPr="008E0538" w:rsidRDefault="008E0538" w:rsidP="008E0538">
            <w:pPr>
              <w:jc w:val="right"/>
              <w:rPr>
                <w:rFonts w:ascii="Arial" w:hAnsi="Arial" w:cs="Arial"/>
                <w:b/>
                <w:sz w:val="20"/>
                <w:szCs w:val="20"/>
              </w:rPr>
            </w:pPr>
            <w:r w:rsidRPr="008E0538">
              <w:rPr>
                <w:rFonts w:ascii="Arial" w:hAnsi="Arial" w:cs="Arial"/>
                <w:b/>
                <w:sz w:val="20"/>
                <w:szCs w:val="20"/>
              </w:rPr>
              <w:t>131.2</w:t>
            </w:r>
          </w:p>
        </w:tc>
        <w:tc>
          <w:tcPr>
            <w:tcW w:w="1660" w:type="dxa"/>
            <w:vAlign w:val="center"/>
          </w:tcPr>
          <w:p w14:paraId="07BBF0FA" w14:textId="344F1FEE" w:rsidR="008E0538" w:rsidRPr="008E0538" w:rsidRDefault="008E0538" w:rsidP="008E0538">
            <w:pPr>
              <w:jc w:val="right"/>
              <w:rPr>
                <w:rFonts w:ascii="Arial" w:hAnsi="Arial" w:cs="Arial"/>
                <w:b/>
                <w:sz w:val="20"/>
                <w:szCs w:val="20"/>
              </w:rPr>
            </w:pPr>
            <w:r w:rsidRPr="008E0538">
              <w:rPr>
                <w:rFonts w:ascii="Arial" w:hAnsi="Arial" w:cs="Arial"/>
                <w:b/>
                <w:sz w:val="20"/>
                <w:szCs w:val="20"/>
              </w:rPr>
              <w:t>623.9</w:t>
            </w:r>
          </w:p>
        </w:tc>
        <w:tc>
          <w:tcPr>
            <w:tcW w:w="0" w:type="auto"/>
            <w:vAlign w:val="center"/>
          </w:tcPr>
          <w:p w14:paraId="50185234" w14:textId="489571B6" w:rsidR="008E0538" w:rsidRPr="008E0538" w:rsidRDefault="008E0538" w:rsidP="008E0538">
            <w:pPr>
              <w:jc w:val="right"/>
              <w:rPr>
                <w:rFonts w:ascii="Arial" w:hAnsi="Arial" w:cs="Arial"/>
                <w:b/>
                <w:sz w:val="20"/>
                <w:szCs w:val="20"/>
              </w:rPr>
            </w:pPr>
            <w:r w:rsidRPr="008E0538">
              <w:rPr>
                <w:rFonts w:ascii="Arial" w:hAnsi="Arial" w:cs="Arial"/>
                <w:b/>
                <w:sz w:val="20"/>
                <w:szCs w:val="20"/>
              </w:rPr>
              <w:t>82.6%</w:t>
            </w:r>
          </w:p>
        </w:tc>
      </w:tr>
      <w:tr w:rsidR="008E0538" w14:paraId="11A33E59" w14:textId="77777777" w:rsidTr="008E0538">
        <w:tc>
          <w:tcPr>
            <w:tcW w:w="1703" w:type="dxa"/>
            <w:vAlign w:val="center"/>
          </w:tcPr>
          <w:p w14:paraId="3E47765D" w14:textId="43D2CACB" w:rsidR="008E0538" w:rsidRPr="007C3DF5" w:rsidRDefault="008E0538" w:rsidP="008E0538">
            <w:pPr>
              <w:keepNext/>
              <w:keepLines/>
              <w:rPr>
                <w:rFonts w:ascii="Arial" w:hAnsi="Arial" w:cs="Arial"/>
                <w:sz w:val="20"/>
                <w:szCs w:val="20"/>
              </w:rPr>
            </w:pPr>
            <w:r w:rsidRPr="008A6AC6">
              <w:rPr>
                <w:rFonts w:ascii="Arial" w:hAnsi="Arial" w:cs="Arial"/>
                <w:sz w:val="20"/>
                <w:szCs w:val="20"/>
              </w:rPr>
              <w:t>South Orange County</w:t>
            </w:r>
          </w:p>
        </w:tc>
        <w:tc>
          <w:tcPr>
            <w:tcW w:w="1128" w:type="dxa"/>
            <w:vAlign w:val="center"/>
          </w:tcPr>
          <w:p w14:paraId="5694A6A6" w14:textId="712C2E78" w:rsidR="008E0538" w:rsidRPr="008E0538" w:rsidRDefault="008E0538" w:rsidP="008E0538">
            <w:pPr>
              <w:jc w:val="right"/>
              <w:rPr>
                <w:rFonts w:ascii="Arial" w:hAnsi="Arial" w:cs="Arial"/>
                <w:sz w:val="20"/>
                <w:szCs w:val="20"/>
              </w:rPr>
            </w:pPr>
            <w:r w:rsidRPr="008E0538">
              <w:rPr>
                <w:rFonts w:ascii="Arial" w:hAnsi="Arial" w:cs="Arial"/>
                <w:sz w:val="20"/>
                <w:szCs w:val="20"/>
              </w:rPr>
              <w:t>55</w:t>
            </w:r>
          </w:p>
        </w:tc>
        <w:tc>
          <w:tcPr>
            <w:tcW w:w="2005" w:type="dxa"/>
            <w:vAlign w:val="center"/>
          </w:tcPr>
          <w:p w14:paraId="1FCA187B" w14:textId="46FF9C71" w:rsidR="008E0538" w:rsidRPr="008E0538" w:rsidRDefault="008E0538" w:rsidP="008E0538">
            <w:pPr>
              <w:jc w:val="right"/>
              <w:rPr>
                <w:rFonts w:ascii="Arial" w:hAnsi="Arial" w:cs="Arial"/>
                <w:sz w:val="20"/>
                <w:szCs w:val="20"/>
              </w:rPr>
            </w:pPr>
            <w:r w:rsidRPr="008E0538">
              <w:rPr>
                <w:rFonts w:ascii="Arial" w:hAnsi="Arial" w:cs="Arial"/>
                <w:sz w:val="20"/>
                <w:szCs w:val="20"/>
              </w:rPr>
              <w:t>82.9</w:t>
            </w:r>
          </w:p>
        </w:tc>
        <w:tc>
          <w:tcPr>
            <w:tcW w:w="1546" w:type="dxa"/>
            <w:vAlign w:val="center"/>
          </w:tcPr>
          <w:p w14:paraId="2719E8EC" w14:textId="572175CA" w:rsidR="008E0538" w:rsidRPr="008E0538" w:rsidRDefault="008E0538" w:rsidP="008E0538">
            <w:pPr>
              <w:jc w:val="right"/>
              <w:rPr>
                <w:rFonts w:ascii="Arial" w:hAnsi="Arial" w:cs="Arial"/>
                <w:sz w:val="20"/>
                <w:szCs w:val="20"/>
              </w:rPr>
            </w:pPr>
            <w:r w:rsidRPr="008E0538">
              <w:rPr>
                <w:rFonts w:ascii="Arial" w:hAnsi="Arial" w:cs="Arial"/>
                <w:sz w:val="20"/>
                <w:szCs w:val="20"/>
              </w:rPr>
              <w:t>14.3</w:t>
            </w:r>
          </w:p>
        </w:tc>
        <w:tc>
          <w:tcPr>
            <w:tcW w:w="1660" w:type="dxa"/>
            <w:vAlign w:val="center"/>
          </w:tcPr>
          <w:p w14:paraId="28096F17" w14:textId="39B09EF3" w:rsidR="008E0538" w:rsidRPr="008E0538" w:rsidRDefault="008E0538" w:rsidP="008E0538">
            <w:pPr>
              <w:jc w:val="right"/>
              <w:rPr>
                <w:rFonts w:ascii="Arial" w:hAnsi="Arial" w:cs="Arial"/>
                <w:sz w:val="20"/>
                <w:szCs w:val="20"/>
              </w:rPr>
            </w:pPr>
            <w:r w:rsidRPr="008E0538">
              <w:rPr>
                <w:rFonts w:ascii="Arial" w:hAnsi="Arial" w:cs="Arial"/>
                <w:sz w:val="20"/>
                <w:szCs w:val="20"/>
              </w:rPr>
              <w:t>68.6</w:t>
            </w:r>
          </w:p>
        </w:tc>
        <w:tc>
          <w:tcPr>
            <w:tcW w:w="0" w:type="auto"/>
            <w:vAlign w:val="center"/>
          </w:tcPr>
          <w:p w14:paraId="0CF79888" w14:textId="47CE9E94" w:rsidR="008E0538" w:rsidRPr="008E0538" w:rsidRDefault="008E0538" w:rsidP="008E0538">
            <w:pPr>
              <w:jc w:val="right"/>
              <w:rPr>
                <w:rFonts w:ascii="Arial" w:hAnsi="Arial" w:cs="Arial"/>
                <w:sz w:val="20"/>
                <w:szCs w:val="20"/>
              </w:rPr>
            </w:pPr>
            <w:r w:rsidRPr="008E0538">
              <w:rPr>
                <w:rFonts w:ascii="Arial" w:hAnsi="Arial" w:cs="Arial"/>
                <w:sz w:val="20"/>
                <w:szCs w:val="20"/>
              </w:rPr>
              <w:t>82.7%</w:t>
            </w:r>
          </w:p>
        </w:tc>
      </w:tr>
      <w:tr w:rsidR="008E0538" w14:paraId="1E114A39" w14:textId="77777777" w:rsidTr="008E0538">
        <w:tc>
          <w:tcPr>
            <w:tcW w:w="1703" w:type="dxa"/>
            <w:vAlign w:val="center"/>
          </w:tcPr>
          <w:p w14:paraId="78CC8F02" w14:textId="08BAB706" w:rsidR="008E0538" w:rsidRPr="007C3DF5" w:rsidRDefault="008E0538" w:rsidP="008E0538">
            <w:pPr>
              <w:keepNext/>
              <w:keepLines/>
              <w:rPr>
                <w:rFonts w:ascii="Arial" w:hAnsi="Arial" w:cs="Arial"/>
                <w:sz w:val="20"/>
                <w:szCs w:val="20"/>
              </w:rPr>
            </w:pPr>
            <w:r>
              <w:rPr>
                <w:rFonts w:ascii="Arial" w:hAnsi="Arial" w:cs="Arial"/>
                <w:sz w:val="20"/>
                <w:szCs w:val="20"/>
              </w:rPr>
              <w:t xml:space="preserve">South of </w:t>
            </w:r>
            <w:smartTag w:uri="urn:schemas-microsoft-com:office:smarttags" w:element="place">
              <w:smartTag w:uri="urn:schemas-microsoft-com:office:smarttags" w:element="City">
                <w:r>
                  <w:rPr>
                    <w:rFonts w:ascii="Arial" w:hAnsi="Arial" w:cs="Arial"/>
                    <w:sz w:val="20"/>
                    <w:szCs w:val="20"/>
                  </w:rPr>
                  <w:t>Lugo</w:t>
                </w:r>
              </w:smartTag>
            </w:smartTag>
          </w:p>
        </w:tc>
        <w:tc>
          <w:tcPr>
            <w:tcW w:w="1128" w:type="dxa"/>
            <w:vAlign w:val="center"/>
          </w:tcPr>
          <w:p w14:paraId="5A972C4C" w14:textId="5CA6667C" w:rsidR="008E0538" w:rsidRPr="008E0538" w:rsidRDefault="008E0538" w:rsidP="008E0538">
            <w:pPr>
              <w:jc w:val="right"/>
              <w:rPr>
                <w:rFonts w:ascii="Arial" w:hAnsi="Arial" w:cs="Arial"/>
                <w:sz w:val="20"/>
                <w:szCs w:val="20"/>
              </w:rPr>
            </w:pPr>
            <w:r w:rsidRPr="008E0538">
              <w:rPr>
                <w:rFonts w:ascii="Arial" w:hAnsi="Arial" w:cs="Arial"/>
                <w:sz w:val="20"/>
                <w:szCs w:val="20"/>
              </w:rPr>
              <w:t>227</w:t>
            </w:r>
          </w:p>
        </w:tc>
        <w:tc>
          <w:tcPr>
            <w:tcW w:w="2005" w:type="dxa"/>
            <w:vAlign w:val="center"/>
          </w:tcPr>
          <w:p w14:paraId="748B4117" w14:textId="76B69143" w:rsidR="008E0538" w:rsidRPr="008E0538" w:rsidRDefault="008E0538" w:rsidP="008E0538">
            <w:pPr>
              <w:jc w:val="right"/>
              <w:rPr>
                <w:rFonts w:ascii="Arial" w:hAnsi="Arial" w:cs="Arial"/>
                <w:sz w:val="20"/>
                <w:szCs w:val="20"/>
              </w:rPr>
            </w:pPr>
            <w:r w:rsidRPr="008E0538">
              <w:rPr>
                <w:rFonts w:ascii="Arial" w:hAnsi="Arial" w:cs="Arial"/>
                <w:sz w:val="20"/>
                <w:szCs w:val="20"/>
              </w:rPr>
              <w:t>248.2</w:t>
            </w:r>
          </w:p>
        </w:tc>
        <w:tc>
          <w:tcPr>
            <w:tcW w:w="1546" w:type="dxa"/>
            <w:vAlign w:val="center"/>
          </w:tcPr>
          <w:p w14:paraId="1D4CF543" w14:textId="54EFBEF6" w:rsidR="008E0538" w:rsidRPr="008E0538" w:rsidRDefault="008E0538" w:rsidP="008E0538">
            <w:pPr>
              <w:jc w:val="right"/>
              <w:rPr>
                <w:rFonts w:ascii="Arial" w:hAnsi="Arial" w:cs="Arial"/>
                <w:sz w:val="20"/>
                <w:szCs w:val="20"/>
              </w:rPr>
            </w:pPr>
            <w:r w:rsidRPr="008E0538">
              <w:rPr>
                <w:rFonts w:ascii="Arial" w:hAnsi="Arial" w:cs="Arial"/>
                <w:sz w:val="20"/>
                <w:szCs w:val="20"/>
              </w:rPr>
              <w:t>51.0</w:t>
            </w:r>
          </w:p>
        </w:tc>
        <w:tc>
          <w:tcPr>
            <w:tcW w:w="1660" w:type="dxa"/>
            <w:vAlign w:val="center"/>
          </w:tcPr>
          <w:p w14:paraId="2C69C004" w14:textId="0C7DB485" w:rsidR="008E0538" w:rsidRPr="008E0538" w:rsidRDefault="008E0538" w:rsidP="008E0538">
            <w:pPr>
              <w:jc w:val="right"/>
              <w:rPr>
                <w:rFonts w:ascii="Arial" w:hAnsi="Arial" w:cs="Arial"/>
                <w:sz w:val="20"/>
                <w:szCs w:val="20"/>
              </w:rPr>
            </w:pPr>
            <w:r w:rsidRPr="008E0538">
              <w:rPr>
                <w:rFonts w:ascii="Arial" w:hAnsi="Arial" w:cs="Arial"/>
                <w:sz w:val="20"/>
                <w:szCs w:val="20"/>
              </w:rPr>
              <w:t>197.3</w:t>
            </w:r>
          </w:p>
        </w:tc>
        <w:tc>
          <w:tcPr>
            <w:tcW w:w="0" w:type="auto"/>
            <w:vAlign w:val="center"/>
          </w:tcPr>
          <w:p w14:paraId="6FF82787" w14:textId="4D82FAED" w:rsidR="008E0538" w:rsidRPr="008E0538" w:rsidRDefault="008E0538" w:rsidP="008E0538">
            <w:pPr>
              <w:jc w:val="right"/>
              <w:rPr>
                <w:rFonts w:ascii="Arial" w:hAnsi="Arial" w:cs="Arial"/>
                <w:sz w:val="20"/>
                <w:szCs w:val="20"/>
              </w:rPr>
            </w:pPr>
            <w:r w:rsidRPr="008E0538">
              <w:rPr>
                <w:rFonts w:ascii="Arial" w:hAnsi="Arial" w:cs="Arial"/>
                <w:sz w:val="20"/>
                <w:szCs w:val="20"/>
              </w:rPr>
              <w:t>79.5%</w:t>
            </w:r>
          </w:p>
        </w:tc>
      </w:tr>
      <w:tr w:rsidR="008E0538" w14:paraId="2FA3222C" w14:textId="77777777" w:rsidTr="008E0538">
        <w:tc>
          <w:tcPr>
            <w:tcW w:w="1703" w:type="dxa"/>
            <w:vAlign w:val="center"/>
          </w:tcPr>
          <w:p w14:paraId="34B5AB77" w14:textId="1C8EEBA6" w:rsidR="008E0538" w:rsidRDefault="008E0538" w:rsidP="008E0538">
            <w:pPr>
              <w:keepNext/>
              <w:keepLines/>
              <w:rPr>
                <w:rFonts w:ascii="Arial" w:hAnsi="Arial" w:cs="Arial"/>
                <w:sz w:val="20"/>
                <w:szCs w:val="20"/>
              </w:rPr>
            </w:pPr>
            <w:r>
              <w:rPr>
                <w:rFonts w:ascii="Arial" w:hAnsi="Arial" w:cs="Arial"/>
                <w:sz w:val="20"/>
                <w:szCs w:val="20"/>
              </w:rPr>
              <w:t>Rest of System</w:t>
            </w:r>
          </w:p>
        </w:tc>
        <w:tc>
          <w:tcPr>
            <w:tcW w:w="1128" w:type="dxa"/>
            <w:vAlign w:val="center"/>
          </w:tcPr>
          <w:p w14:paraId="387FCF45" w14:textId="34E1412C" w:rsidR="008E0538" w:rsidRPr="008E0538" w:rsidRDefault="008E0538" w:rsidP="008E0538">
            <w:pPr>
              <w:jc w:val="right"/>
              <w:rPr>
                <w:rFonts w:ascii="Arial" w:hAnsi="Arial" w:cs="Arial"/>
                <w:sz w:val="20"/>
                <w:szCs w:val="20"/>
              </w:rPr>
            </w:pPr>
            <w:r w:rsidRPr="008E0538">
              <w:rPr>
                <w:rFonts w:ascii="Arial" w:hAnsi="Arial" w:cs="Arial"/>
                <w:sz w:val="20"/>
                <w:szCs w:val="20"/>
              </w:rPr>
              <w:t>338</w:t>
            </w:r>
          </w:p>
        </w:tc>
        <w:tc>
          <w:tcPr>
            <w:tcW w:w="2005" w:type="dxa"/>
            <w:vAlign w:val="center"/>
          </w:tcPr>
          <w:p w14:paraId="1A3F5825" w14:textId="408DFE1D" w:rsidR="008E0538" w:rsidRPr="008E0538" w:rsidRDefault="008E0538" w:rsidP="008E0538">
            <w:pPr>
              <w:jc w:val="right"/>
              <w:rPr>
                <w:rFonts w:ascii="Arial" w:hAnsi="Arial" w:cs="Arial"/>
                <w:sz w:val="20"/>
                <w:szCs w:val="20"/>
              </w:rPr>
            </w:pPr>
            <w:r w:rsidRPr="008E0538">
              <w:rPr>
                <w:rFonts w:ascii="Arial" w:hAnsi="Arial" w:cs="Arial"/>
                <w:sz w:val="20"/>
                <w:szCs w:val="20"/>
              </w:rPr>
              <w:t>423.9</w:t>
            </w:r>
          </w:p>
        </w:tc>
        <w:tc>
          <w:tcPr>
            <w:tcW w:w="1546" w:type="dxa"/>
            <w:vAlign w:val="center"/>
          </w:tcPr>
          <w:p w14:paraId="0B254143" w14:textId="225A832A" w:rsidR="008E0538" w:rsidRPr="008E0538" w:rsidRDefault="008E0538" w:rsidP="008E0538">
            <w:pPr>
              <w:jc w:val="right"/>
              <w:rPr>
                <w:rFonts w:ascii="Arial" w:hAnsi="Arial" w:cs="Arial"/>
                <w:sz w:val="20"/>
                <w:szCs w:val="20"/>
              </w:rPr>
            </w:pPr>
            <w:r w:rsidRPr="008E0538">
              <w:rPr>
                <w:rFonts w:ascii="Arial" w:hAnsi="Arial" w:cs="Arial"/>
                <w:sz w:val="20"/>
                <w:szCs w:val="20"/>
              </w:rPr>
              <w:t>65.9</w:t>
            </w:r>
          </w:p>
        </w:tc>
        <w:tc>
          <w:tcPr>
            <w:tcW w:w="1660" w:type="dxa"/>
            <w:vAlign w:val="center"/>
          </w:tcPr>
          <w:p w14:paraId="2F455533" w14:textId="0566B9EE" w:rsidR="008E0538" w:rsidRPr="008E0538" w:rsidRDefault="008E0538" w:rsidP="008E0538">
            <w:pPr>
              <w:jc w:val="right"/>
              <w:rPr>
                <w:rFonts w:ascii="Arial" w:hAnsi="Arial" w:cs="Arial"/>
                <w:sz w:val="20"/>
                <w:szCs w:val="20"/>
              </w:rPr>
            </w:pPr>
            <w:r w:rsidRPr="008E0538">
              <w:rPr>
                <w:rFonts w:ascii="Arial" w:hAnsi="Arial" w:cs="Arial"/>
                <w:sz w:val="20"/>
                <w:szCs w:val="20"/>
              </w:rPr>
              <w:t>358.0</w:t>
            </w:r>
          </w:p>
        </w:tc>
        <w:tc>
          <w:tcPr>
            <w:tcW w:w="0" w:type="auto"/>
            <w:vAlign w:val="center"/>
          </w:tcPr>
          <w:p w14:paraId="11E23F4D" w14:textId="50F78081" w:rsidR="008E0538" w:rsidRPr="008E0538" w:rsidRDefault="008E0538" w:rsidP="008E0538">
            <w:pPr>
              <w:jc w:val="right"/>
              <w:rPr>
                <w:rFonts w:ascii="Arial" w:hAnsi="Arial" w:cs="Arial"/>
                <w:sz w:val="20"/>
                <w:szCs w:val="20"/>
              </w:rPr>
            </w:pPr>
            <w:r w:rsidRPr="008E0538">
              <w:rPr>
                <w:rFonts w:ascii="Arial" w:hAnsi="Arial" w:cs="Arial"/>
                <w:sz w:val="20"/>
                <w:szCs w:val="20"/>
              </w:rPr>
              <w:t>84.4%</w:t>
            </w:r>
          </w:p>
        </w:tc>
      </w:tr>
    </w:tbl>
    <w:p w14:paraId="089CE25C" w14:textId="77777777" w:rsidR="00321E09" w:rsidRDefault="00321E09" w:rsidP="00DF6FCB">
      <w:pPr>
        <w:rPr>
          <w:b/>
        </w:rPr>
      </w:pPr>
    </w:p>
    <w:p w14:paraId="05A48931" w14:textId="77777777" w:rsidR="00321E09" w:rsidRPr="00146E50" w:rsidRDefault="00321E09" w:rsidP="00146E50">
      <w:pPr>
        <w:pStyle w:val="Heading3"/>
        <w:rPr>
          <w:sz w:val="22"/>
          <w:szCs w:val="22"/>
        </w:rPr>
      </w:pPr>
      <w:bookmarkStart w:id="79" w:name="_Toc415488960"/>
      <w:r>
        <w:rPr>
          <w:sz w:val="22"/>
          <w:szCs w:val="22"/>
        </w:rPr>
        <w:t xml:space="preserve">4.2.2 </w:t>
      </w:r>
      <w:r w:rsidRPr="00146E50">
        <w:rPr>
          <w:sz w:val="22"/>
          <w:szCs w:val="22"/>
        </w:rPr>
        <w:t>Hourly Load Impacts</w:t>
      </w:r>
      <w:bookmarkEnd w:id="79"/>
      <w:r w:rsidRPr="00146E50">
        <w:rPr>
          <w:sz w:val="22"/>
          <w:szCs w:val="22"/>
        </w:rPr>
        <w:t xml:space="preserve"> </w:t>
      </w:r>
    </w:p>
    <w:p w14:paraId="142FBEE5" w14:textId="09AB9F72" w:rsidR="00321E09" w:rsidRDefault="00321E09" w:rsidP="00C70F01">
      <w:r>
        <w:t>Table 4.</w:t>
      </w:r>
      <w:r w:rsidR="00A34732">
        <w:t>9</w:t>
      </w:r>
      <w:r>
        <w:t xml:space="preserve"> presents hourly load impacts </w:t>
      </w:r>
      <w:r w:rsidR="00CB4E99">
        <w:t>for the February 6</w:t>
      </w:r>
      <w:r w:rsidR="00CB4E99" w:rsidRPr="00CB4E99">
        <w:rPr>
          <w:vertAlign w:val="superscript"/>
        </w:rPr>
        <w:t>th</w:t>
      </w:r>
      <w:r w:rsidR="00CB4E99">
        <w:t xml:space="preserve"> </w:t>
      </w:r>
      <w:r>
        <w:t>B</w:t>
      </w:r>
      <w:r w:rsidR="00CB4E99">
        <w:t>I</w:t>
      </w:r>
      <w:r>
        <w:t xml:space="preserve">P event in the manner required by the Protocols. </w:t>
      </w:r>
      <w:r w:rsidR="00E03F4A">
        <w:t>The hourly load impact ranges from</w:t>
      </w:r>
      <w:r>
        <w:t xml:space="preserve"> </w:t>
      </w:r>
      <w:r w:rsidR="005835D0">
        <w:t xml:space="preserve">600 </w:t>
      </w:r>
      <w:r>
        <w:t xml:space="preserve">MW to </w:t>
      </w:r>
      <w:r w:rsidR="005835D0">
        <w:t>646</w:t>
      </w:r>
      <w:r>
        <w:t xml:space="preserve"> MW. </w:t>
      </w:r>
    </w:p>
    <w:p w14:paraId="06BB2379" w14:textId="77777777" w:rsidR="00321E09" w:rsidRDefault="00321E09" w:rsidP="00747BEF">
      <w:r>
        <w:t xml:space="preserve"> </w:t>
      </w:r>
    </w:p>
    <w:p w14:paraId="544C88FC" w14:textId="3D77B388" w:rsidR="00321E09" w:rsidRPr="00852320" w:rsidRDefault="00321E09" w:rsidP="00B3661A">
      <w:pPr>
        <w:pStyle w:val="TableCaption"/>
        <w:keepNext/>
        <w:keepLines/>
      </w:pPr>
      <w:bookmarkStart w:id="80" w:name="_Toc415489016"/>
      <w:r w:rsidRPr="00852320">
        <w:t>Table 4.</w:t>
      </w:r>
      <w:r w:rsidR="00A34732">
        <w:t>9</w:t>
      </w:r>
      <w:r w:rsidR="00804C65">
        <w:t xml:space="preserve">: </w:t>
      </w:r>
      <w:r w:rsidRPr="00852320">
        <w:t>B</w:t>
      </w:r>
      <w:r w:rsidR="00804C65">
        <w:t>I</w:t>
      </w:r>
      <w:r w:rsidRPr="00852320">
        <w:t xml:space="preserve">P Hourly Load Impacts for </w:t>
      </w:r>
      <w:r w:rsidR="000C3E81" w:rsidRPr="00852320">
        <w:t xml:space="preserve">the </w:t>
      </w:r>
      <w:r w:rsidR="00804C65">
        <w:t>February 6, 2014</w:t>
      </w:r>
      <w:r w:rsidRPr="00852320">
        <w:t xml:space="preserve"> Event Day, </w:t>
      </w:r>
      <w:r w:rsidRPr="00852320">
        <w:rPr>
          <w:i/>
        </w:rPr>
        <w:t>SCE</w:t>
      </w:r>
      <w:bookmarkEnd w:id="80"/>
    </w:p>
    <w:p w14:paraId="173015F3" w14:textId="5C3B6F46" w:rsidR="00321E09" w:rsidRPr="00732632" w:rsidRDefault="00A94317" w:rsidP="003D2DE7">
      <w:pPr>
        <w:keepNext/>
        <w:keepLines/>
      </w:pPr>
      <w:r w:rsidRPr="00A94317">
        <w:rPr>
          <w:noProof/>
        </w:rPr>
        <w:drawing>
          <wp:inline distT="0" distB="0" distL="0" distR="0" wp14:anchorId="2A461B9A" wp14:editId="42CA2566">
            <wp:extent cx="5486400" cy="45150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86400" cy="4515095"/>
                    </a:xfrm>
                    <a:prstGeom prst="rect">
                      <a:avLst/>
                    </a:prstGeom>
                    <a:noFill/>
                    <a:ln>
                      <a:noFill/>
                    </a:ln>
                  </pic:spPr>
                </pic:pic>
              </a:graphicData>
            </a:graphic>
          </wp:inline>
        </w:drawing>
      </w:r>
    </w:p>
    <w:p w14:paraId="2AC6BC0F" w14:textId="77777777" w:rsidR="00321E09" w:rsidRDefault="00321E09" w:rsidP="00C70F01"/>
    <w:p w14:paraId="25294871" w14:textId="6440EDA9" w:rsidR="00321E09" w:rsidRDefault="00321E09" w:rsidP="00C70F01">
      <w:r>
        <w:lastRenderedPageBreak/>
        <w:t>Figure 4.</w:t>
      </w:r>
      <w:r w:rsidR="00C23BD6">
        <w:t>3</w:t>
      </w:r>
      <w:r>
        <w:t xml:space="preserve"> illustrates the hourly reference load</w:t>
      </w:r>
      <w:r w:rsidR="00414097">
        <w:t xml:space="preserve">, </w:t>
      </w:r>
      <w:r>
        <w:t>observed load</w:t>
      </w:r>
      <w:r w:rsidR="00414097">
        <w:t>, and load impact</w:t>
      </w:r>
      <w:r>
        <w:t xml:space="preserve"> for the </w:t>
      </w:r>
      <w:r w:rsidR="00CC542E">
        <w:t>February 6</w:t>
      </w:r>
      <w:r w:rsidR="00CC542E" w:rsidRPr="00CC542E">
        <w:rPr>
          <w:vertAlign w:val="superscript"/>
        </w:rPr>
        <w:t>th</w:t>
      </w:r>
      <w:r w:rsidR="00CC542E">
        <w:t xml:space="preserve"> BIP event</w:t>
      </w:r>
      <w:r>
        <w:t>.</w:t>
      </w:r>
      <w:r w:rsidR="00414097">
        <w:t xml:space="preserve"> The scale for the hourly load impacts is shown on the right-hand side of the figure.</w:t>
      </w:r>
      <w:r>
        <w:t xml:space="preserve"> </w:t>
      </w:r>
    </w:p>
    <w:p w14:paraId="3FAC4064" w14:textId="77777777" w:rsidR="00CC542E" w:rsidRDefault="00CC542E" w:rsidP="00C70F01"/>
    <w:p w14:paraId="3BCCEB58" w14:textId="6F0D4595" w:rsidR="00321E09" w:rsidRPr="00852320" w:rsidRDefault="00321E09" w:rsidP="0019201F">
      <w:pPr>
        <w:pStyle w:val="FigureCaption"/>
        <w:keepNext/>
        <w:keepLines/>
      </w:pPr>
      <w:bookmarkStart w:id="81" w:name="_Toc415489054"/>
      <w:r w:rsidRPr="00852320">
        <w:t>Figure 4.</w:t>
      </w:r>
      <w:r w:rsidR="00C23BD6" w:rsidRPr="00852320">
        <w:t>3</w:t>
      </w:r>
      <w:r w:rsidRPr="00852320">
        <w:t>: B</w:t>
      </w:r>
      <w:r w:rsidR="00A34732">
        <w:t>I</w:t>
      </w:r>
      <w:r w:rsidRPr="00852320">
        <w:t>P Load Impacts</w:t>
      </w:r>
      <w:r w:rsidR="003A3AC6">
        <w:t xml:space="preserve"> for the </w:t>
      </w:r>
      <w:r w:rsidR="00A34732">
        <w:t xml:space="preserve">February 6, 2014 </w:t>
      </w:r>
      <w:r w:rsidR="003A3AC6">
        <w:t>Event Day</w:t>
      </w:r>
      <w:r w:rsidR="00E32794" w:rsidRPr="00852320">
        <w:t xml:space="preserve">, </w:t>
      </w:r>
      <w:r w:rsidRPr="00852320">
        <w:rPr>
          <w:i/>
        </w:rPr>
        <w:t>SCE</w:t>
      </w:r>
      <w:bookmarkEnd w:id="81"/>
    </w:p>
    <w:p w14:paraId="3F6D7612" w14:textId="4618D8AE" w:rsidR="00321E09" w:rsidRPr="00B846C5" w:rsidRDefault="00A879F1" w:rsidP="0019201F">
      <w:pPr>
        <w:keepNext/>
        <w:keepLines/>
        <w:jc w:val="center"/>
      </w:pPr>
      <w:r>
        <w:rPr>
          <w:noProof/>
        </w:rPr>
        <w:drawing>
          <wp:inline distT="0" distB="0" distL="0" distR="0" wp14:anchorId="423D72FD" wp14:editId="5C906A61">
            <wp:extent cx="5486400" cy="3979545"/>
            <wp:effectExtent l="0" t="0" r="0" b="190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55767FA" w14:textId="77777777" w:rsidR="00321E09" w:rsidRDefault="00321E09" w:rsidP="00C70F01"/>
    <w:p w14:paraId="6C671101" w14:textId="77777777" w:rsidR="00205D5C" w:rsidRDefault="00205D5C" w:rsidP="00205D5C">
      <w:pPr>
        <w:pStyle w:val="Heading2"/>
      </w:pPr>
      <w:bookmarkStart w:id="82" w:name="_Toc415488961"/>
      <w:r w:rsidRPr="00140892">
        <w:t>4.3 SDG&amp;E Load Impacts</w:t>
      </w:r>
      <w:bookmarkEnd w:id="82"/>
    </w:p>
    <w:p w14:paraId="49044315" w14:textId="77777777" w:rsidR="008B552C" w:rsidRPr="00146E50" w:rsidRDefault="008B552C" w:rsidP="008B552C">
      <w:pPr>
        <w:pStyle w:val="Heading3"/>
        <w:rPr>
          <w:sz w:val="22"/>
          <w:szCs w:val="22"/>
        </w:rPr>
      </w:pPr>
      <w:bookmarkStart w:id="83" w:name="_Toc351386683"/>
      <w:bookmarkStart w:id="84" w:name="_Toc415488962"/>
      <w:r>
        <w:rPr>
          <w:sz w:val="22"/>
          <w:szCs w:val="22"/>
        </w:rPr>
        <w:t xml:space="preserve">4.3.1 </w:t>
      </w:r>
      <w:r w:rsidRPr="00146E50">
        <w:rPr>
          <w:sz w:val="22"/>
          <w:szCs w:val="22"/>
        </w:rPr>
        <w:t>Average Hourly Load Impacts</w:t>
      </w:r>
      <w:bookmarkEnd w:id="83"/>
      <w:bookmarkEnd w:id="84"/>
    </w:p>
    <w:p w14:paraId="438E4FE0" w14:textId="3ACE8600" w:rsidR="00BA15F9" w:rsidRDefault="008B552C" w:rsidP="008B552C">
      <w:r>
        <w:t>Table 4.1</w:t>
      </w:r>
      <w:r w:rsidR="00A34732">
        <w:t>0</w:t>
      </w:r>
      <w:r>
        <w:t xml:space="preserve"> summarizes average hourly reference loads and load impacts for each of SDG&amp;E’s three </w:t>
      </w:r>
      <w:r w:rsidR="00A34732">
        <w:t>BI</w:t>
      </w:r>
      <w:r>
        <w:t xml:space="preserve">P events. </w:t>
      </w:r>
      <w:r w:rsidR="00A34732">
        <w:t xml:space="preserve">Load impacts were relatively low for the first event day, which appears to be due to the fact that customer loads would have been below the FSL even in the absence of the event day. Load impacts are considerably higher for the two May events, with </w:t>
      </w:r>
      <w:r w:rsidR="00B525DE">
        <w:t>28</w:t>
      </w:r>
      <w:r w:rsidR="00A34732">
        <w:t xml:space="preserve"> percent and </w:t>
      </w:r>
      <w:r w:rsidR="00B525DE">
        <w:t>50</w:t>
      </w:r>
      <w:r w:rsidR="00A34732">
        <w:t xml:space="preserve"> percent load impacts on the two days.</w:t>
      </w:r>
      <w:r w:rsidR="00A34732">
        <w:rPr>
          <w:rStyle w:val="FootnoteReference"/>
        </w:rPr>
        <w:footnoteReference w:id="9"/>
      </w:r>
      <w:r w:rsidR="00A94317">
        <w:t xml:space="preserve"> Note that the contents of the table have been removed due to confidentiality concerns.</w:t>
      </w:r>
    </w:p>
    <w:p w14:paraId="4A0B2255" w14:textId="77777777" w:rsidR="008B552C" w:rsidRDefault="008B552C" w:rsidP="008B552C"/>
    <w:p w14:paraId="2830EC60" w14:textId="5FFBA4F3" w:rsidR="008B552C" w:rsidRPr="008B552C" w:rsidRDefault="008B552C" w:rsidP="008B552C">
      <w:pPr>
        <w:pStyle w:val="TableCaption"/>
        <w:keepNext/>
        <w:keepLines/>
      </w:pPr>
      <w:bookmarkStart w:id="85" w:name="_Toc351386735"/>
      <w:bookmarkStart w:id="86" w:name="_Toc415489017"/>
      <w:r w:rsidRPr="008B552C">
        <w:lastRenderedPageBreak/>
        <w:t>Table 4.1</w:t>
      </w:r>
      <w:r w:rsidR="00A34732">
        <w:t>0</w:t>
      </w:r>
      <w:r w:rsidRPr="008B552C">
        <w:t xml:space="preserve">: Average Hourly Load Impacts by Event, </w:t>
      </w:r>
      <w:r w:rsidRPr="008B552C">
        <w:rPr>
          <w:i/>
        </w:rPr>
        <w:t>SDG&amp;E</w:t>
      </w:r>
      <w:bookmarkEnd w:id="85"/>
      <w:bookmarkEnd w:id="8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260"/>
        <w:gridCol w:w="1350"/>
        <w:gridCol w:w="1348"/>
        <w:gridCol w:w="1473"/>
        <w:gridCol w:w="1723"/>
        <w:gridCol w:w="784"/>
      </w:tblGrid>
      <w:tr w:rsidR="008B552C" w14:paraId="3B3F9AC7" w14:textId="77777777" w:rsidTr="00480455">
        <w:trPr>
          <w:jc w:val="center"/>
        </w:trPr>
        <w:tc>
          <w:tcPr>
            <w:tcW w:w="918" w:type="dxa"/>
            <w:shd w:val="clear" w:color="auto" w:fill="D9E2F3"/>
            <w:vAlign w:val="center"/>
          </w:tcPr>
          <w:p w14:paraId="77E8DC03"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Event</w:t>
            </w:r>
          </w:p>
        </w:tc>
        <w:tc>
          <w:tcPr>
            <w:tcW w:w="1260" w:type="dxa"/>
            <w:shd w:val="clear" w:color="auto" w:fill="D9E2F3"/>
            <w:vAlign w:val="center"/>
          </w:tcPr>
          <w:p w14:paraId="3B4D67AF"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Date</w:t>
            </w:r>
          </w:p>
        </w:tc>
        <w:tc>
          <w:tcPr>
            <w:tcW w:w="1350" w:type="dxa"/>
            <w:shd w:val="clear" w:color="auto" w:fill="D9E2F3"/>
            <w:vAlign w:val="center"/>
          </w:tcPr>
          <w:p w14:paraId="238F8383"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Day of Week</w:t>
            </w:r>
          </w:p>
        </w:tc>
        <w:tc>
          <w:tcPr>
            <w:tcW w:w="1348" w:type="dxa"/>
            <w:shd w:val="clear" w:color="auto" w:fill="D9E2F3"/>
            <w:vAlign w:val="center"/>
          </w:tcPr>
          <w:p w14:paraId="53B4F162"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1473" w:type="dxa"/>
            <w:shd w:val="clear" w:color="auto" w:fill="D9E2F3"/>
            <w:vAlign w:val="center"/>
          </w:tcPr>
          <w:p w14:paraId="5F9D30AA"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Observed Load (MW)</w:t>
            </w:r>
          </w:p>
        </w:tc>
        <w:tc>
          <w:tcPr>
            <w:tcW w:w="1723" w:type="dxa"/>
            <w:shd w:val="clear" w:color="auto" w:fill="D9E2F3"/>
            <w:vAlign w:val="center"/>
          </w:tcPr>
          <w:p w14:paraId="2C60D176"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Estimated Load Impact (MW)</w:t>
            </w:r>
          </w:p>
        </w:tc>
        <w:tc>
          <w:tcPr>
            <w:tcW w:w="784" w:type="dxa"/>
            <w:shd w:val="clear" w:color="auto" w:fill="D9E2F3"/>
            <w:vAlign w:val="center"/>
          </w:tcPr>
          <w:p w14:paraId="19505E55" w14:textId="77777777" w:rsidR="008B552C" w:rsidRPr="007E0A27" w:rsidRDefault="008B552C" w:rsidP="00C16302">
            <w:pPr>
              <w:keepNext/>
              <w:keepLines/>
              <w:jc w:val="center"/>
              <w:rPr>
                <w:rFonts w:ascii="Arial" w:hAnsi="Arial" w:cs="Arial"/>
                <w:b/>
                <w:sz w:val="20"/>
                <w:szCs w:val="20"/>
              </w:rPr>
            </w:pPr>
            <w:r w:rsidRPr="007E0A27">
              <w:rPr>
                <w:rFonts w:ascii="Arial" w:hAnsi="Arial" w:cs="Arial"/>
                <w:b/>
                <w:sz w:val="20"/>
                <w:szCs w:val="20"/>
              </w:rPr>
              <w:t>% LI</w:t>
            </w:r>
          </w:p>
        </w:tc>
      </w:tr>
      <w:tr w:rsidR="00480455" w14:paraId="3FF111BA" w14:textId="77777777" w:rsidTr="00480455">
        <w:trPr>
          <w:jc w:val="center"/>
        </w:trPr>
        <w:tc>
          <w:tcPr>
            <w:tcW w:w="918" w:type="dxa"/>
          </w:tcPr>
          <w:p w14:paraId="12218B1A" w14:textId="3C7EF242" w:rsidR="00480455" w:rsidRPr="007E0A27" w:rsidRDefault="00480455" w:rsidP="00480455">
            <w:pPr>
              <w:keepNext/>
              <w:keepLines/>
              <w:jc w:val="center"/>
              <w:rPr>
                <w:rFonts w:ascii="Arial" w:hAnsi="Arial" w:cs="Arial"/>
                <w:sz w:val="20"/>
                <w:szCs w:val="20"/>
              </w:rPr>
            </w:pPr>
            <w:r w:rsidRPr="007E0A27">
              <w:rPr>
                <w:rFonts w:ascii="Arial" w:hAnsi="Arial" w:cs="Arial"/>
                <w:sz w:val="20"/>
                <w:szCs w:val="20"/>
              </w:rPr>
              <w:t>1</w:t>
            </w:r>
          </w:p>
        </w:tc>
        <w:tc>
          <w:tcPr>
            <w:tcW w:w="1260" w:type="dxa"/>
          </w:tcPr>
          <w:p w14:paraId="2BE230E0" w14:textId="4C37F6DD" w:rsidR="00480455" w:rsidRPr="00E32463" w:rsidRDefault="00480455" w:rsidP="00480455">
            <w:pPr>
              <w:keepNext/>
              <w:keepLines/>
              <w:jc w:val="right"/>
              <w:rPr>
                <w:rFonts w:ascii="Arial" w:hAnsi="Arial" w:cs="Arial"/>
                <w:sz w:val="20"/>
                <w:szCs w:val="20"/>
              </w:rPr>
            </w:pPr>
            <w:r>
              <w:rPr>
                <w:rFonts w:ascii="Arial" w:hAnsi="Arial" w:cs="Arial"/>
                <w:sz w:val="20"/>
                <w:szCs w:val="20"/>
              </w:rPr>
              <w:t>2</w:t>
            </w:r>
            <w:r w:rsidRPr="00E32463">
              <w:rPr>
                <w:rFonts w:ascii="Arial" w:hAnsi="Arial" w:cs="Arial"/>
                <w:sz w:val="20"/>
                <w:szCs w:val="20"/>
              </w:rPr>
              <w:t>/</w:t>
            </w:r>
            <w:r>
              <w:rPr>
                <w:rFonts w:ascii="Arial" w:hAnsi="Arial" w:cs="Arial"/>
                <w:sz w:val="20"/>
                <w:szCs w:val="20"/>
              </w:rPr>
              <w:t>6</w:t>
            </w:r>
            <w:r w:rsidRPr="00E32463">
              <w:rPr>
                <w:rFonts w:ascii="Arial" w:hAnsi="Arial" w:cs="Arial"/>
                <w:sz w:val="20"/>
                <w:szCs w:val="20"/>
              </w:rPr>
              <w:t>/201</w:t>
            </w:r>
            <w:r>
              <w:rPr>
                <w:rFonts w:ascii="Arial" w:hAnsi="Arial" w:cs="Arial"/>
                <w:sz w:val="20"/>
                <w:szCs w:val="20"/>
              </w:rPr>
              <w:t>4</w:t>
            </w:r>
          </w:p>
        </w:tc>
        <w:tc>
          <w:tcPr>
            <w:tcW w:w="1350" w:type="dxa"/>
            <w:vAlign w:val="center"/>
          </w:tcPr>
          <w:p w14:paraId="1F79BF58" w14:textId="2C63DA32" w:rsidR="00480455" w:rsidRPr="00E32463" w:rsidRDefault="00480455" w:rsidP="00480455">
            <w:pPr>
              <w:keepNext/>
              <w:keepLines/>
              <w:jc w:val="center"/>
              <w:rPr>
                <w:rFonts w:ascii="Arial" w:hAnsi="Arial" w:cs="Arial"/>
                <w:sz w:val="20"/>
                <w:szCs w:val="20"/>
              </w:rPr>
            </w:pPr>
            <w:r w:rsidRPr="00E32463">
              <w:rPr>
                <w:rFonts w:ascii="Arial" w:hAnsi="Arial" w:cs="Arial"/>
                <w:sz w:val="20"/>
                <w:szCs w:val="20"/>
              </w:rPr>
              <w:t>Thursday</w:t>
            </w:r>
          </w:p>
        </w:tc>
        <w:tc>
          <w:tcPr>
            <w:tcW w:w="1348" w:type="dxa"/>
          </w:tcPr>
          <w:p w14:paraId="1CAE4EC4" w14:textId="2998DB93" w:rsidR="00480455" w:rsidRPr="00CA44D7" w:rsidRDefault="00480455" w:rsidP="00480455">
            <w:pPr>
              <w:jc w:val="center"/>
              <w:rPr>
                <w:rFonts w:ascii="Arial" w:hAnsi="Arial" w:cs="Arial"/>
                <w:sz w:val="20"/>
                <w:szCs w:val="20"/>
              </w:rPr>
            </w:pPr>
          </w:p>
        </w:tc>
        <w:tc>
          <w:tcPr>
            <w:tcW w:w="1473" w:type="dxa"/>
          </w:tcPr>
          <w:p w14:paraId="661066BB" w14:textId="142D5169" w:rsidR="00480455" w:rsidRPr="00CA44D7" w:rsidRDefault="00480455" w:rsidP="00480455">
            <w:pPr>
              <w:jc w:val="center"/>
              <w:rPr>
                <w:rFonts w:ascii="Arial" w:hAnsi="Arial" w:cs="Arial"/>
                <w:sz w:val="20"/>
                <w:szCs w:val="20"/>
              </w:rPr>
            </w:pPr>
          </w:p>
        </w:tc>
        <w:tc>
          <w:tcPr>
            <w:tcW w:w="1723" w:type="dxa"/>
          </w:tcPr>
          <w:p w14:paraId="1E41F03F" w14:textId="76221284" w:rsidR="00480455" w:rsidRPr="00CA44D7" w:rsidRDefault="00480455" w:rsidP="00480455">
            <w:pPr>
              <w:jc w:val="center"/>
              <w:rPr>
                <w:rFonts w:ascii="Arial" w:hAnsi="Arial" w:cs="Arial"/>
                <w:sz w:val="20"/>
                <w:szCs w:val="20"/>
              </w:rPr>
            </w:pPr>
          </w:p>
        </w:tc>
        <w:tc>
          <w:tcPr>
            <w:tcW w:w="784" w:type="dxa"/>
          </w:tcPr>
          <w:p w14:paraId="62AA7255" w14:textId="5163A0F1" w:rsidR="00480455" w:rsidRPr="00CA44D7" w:rsidRDefault="00480455" w:rsidP="00480455">
            <w:pPr>
              <w:jc w:val="center"/>
              <w:rPr>
                <w:rFonts w:ascii="Arial" w:hAnsi="Arial" w:cs="Arial"/>
                <w:sz w:val="20"/>
                <w:szCs w:val="20"/>
              </w:rPr>
            </w:pPr>
          </w:p>
        </w:tc>
      </w:tr>
      <w:tr w:rsidR="00B3216D" w14:paraId="5E03188E" w14:textId="77777777" w:rsidTr="00480455">
        <w:trPr>
          <w:jc w:val="center"/>
        </w:trPr>
        <w:tc>
          <w:tcPr>
            <w:tcW w:w="918" w:type="dxa"/>
          </w:tcPr>
          <w:p w14:paraId="1E41E729" w14:textId="26830DB3" w:rsidR="00B3216D" w:rsidRPr="007E0A27" w:rsidRDefault="00B3216D" w:rsidP="00480455">
            <w:pPr>
              <w:keepNext/>
              <w:keepLines/>
              <w:jc w:val="center"/>
              <w:rPr>
                <w:rFonts w:ascii="Arial" w:hAnsi="Arial" w:cs="Arial"/>
                <w:sz w:val="20"/>
                <w:szCs w:val="20"/>
              </w:rPr>
            </w:pPr>
            <w:r>
              <w:rPr>
                <w:rFonts w:ascii="Arial" w:hAnsi="Arial" w:cs="Arial"/>
                <w:sz w:val="20"/>
                <w:szCs w:val="20"/>
              </w:rPr>
              <w:t>2</w:t>
            </w:r>
          </w:p>
        </w:tc>
        <w:tc>
          <w:tcPr>
            <w:tcW w:w="1260" w:type="dxa"/>
          </w:tcPr>
          <w:p w14:paraId="614DDA85" w14:textId="0CE31316" w:rsidR="00B3216D" w:rsidRPr="00E32463" w:rsidRDefault="00480455" w:rsidP="00480455">
            <w:pPr>
              <w:keepNext/>
              <w:keepLines/>
              <w:jc w:val="right"/>
              <w:rPr>
                <w:rFonts w:ascii="Arial" w:hAnsi="Arial" w:cs="Arial"/>
                <w:sz w:val="20"/>
                <w:szCs w:val="20"/>
              </w:rPr>
            </w:pPr>
            <w:r>
              <w:rPr>
                <w:rFonts w:ascii="Arial" w:hAnsi="Arial" w:cs="Arial"/>
                <w:sz w:val="20"/>
                <w:szCs w:val="20"/>
              </w:rPr>
              <w:t>5</w:t>
            </w:r>
            <w:r w:rsidR="00B3216D" w:rsidRPr="00E32463">
              <w:rPr>
                <w:rFonts w:ascii="Arial" w:hAnsi="Arial" w:cs="Arial"/>
                <w:sz w:val="20"/>
                <w:szCs w:val="20"/>
              </w:rPr>
              <w:t>/</w:t>
            </w:r>
            <w:r>
              <w:rPr>
                <w:rFonts w:ascii="Arial" w:hAnsi="Arial" w:cs="Arial"/>
                <w:sz w:val="20"/>
                <w:szCs w:val="20"/>
              </w:rPr>
              <w:t>14</w:t>
            </w:r>
            <w:r w:rsidR="00B3216D" w:rsidRPr="00E32463">
              <w:rPr>
                <w:rFonts w:ascii="Arial" w:hAnsi="Arial" w:cs="Arial"/>
                <w:sz w:val="20"/>
                <w:szCs w:val="20"/>
              </w:rPr>
              <w:t>/201</w:t>
            </w:r>
            <w:r>
              <w:rPr>
                <w:rFonts w:ascii="Arial" w:hAnsi="Arial" w:cs="Arial"/>
                <w:sz w:val="20"/>
                <w:szCs w:val="20"/>
              </w:rPr>
              <w:t>4</w:t>
            </w:r>
          </w:p>
        </w:tc>
        <w:tc>
          <w:tcPr>
            <w:tcW w:w="1350" w:type="dxa"/>
            <w:vAlign w:val="center"/>
          </w:tcPr>
          <w:p w14:paraId="02C51D3A" w14:textId="0DB3D1A4" w:rsidR="00B3216D" w:rsidRPr="00E32463" w:rsidRDefault="00480455" w:rsidP="00B3216D">
            <w:pPr>
              <w:keepNext/>
              <w:keepLines/>
              <w:jc w:val="center"/>
              <w:rPr>
                <w:rFonts w:ascii="Arial" w:hAnsi="Arial" w:cs="Arial"/>
                <w:sz w:val="20"/>
                <w:szCs w:val="20"/>
              </w:rPr>
            </w:pPr>
            <w:r>
              <w:rPr>
                <w:rFonts w:ascii="Arial" w:hAnsi="Arial" w:cs="Arial"/>
                <w:sz w:val="20"/>
                <w:szCs w:val="20"/>
              </w:rPr>
              <w:t>Wednes</w:t>
            </w:r>
            <w:r w:rsidR="00B3216D" w:rsidRPr="00E32463">
              <w:rPr>
                <w:rFonts w:ascii="Arial" w:hAnsi="Arial" w:cs="Arial"/>
                <w:sz w:val="20"/>
                <w:szCs w:val="20"/>
              </w:rPr>
              <w:t>day</w:t>
            </w:r>
          </w:p>
        </w:tc>
        <w:tc>
          <w:tcPr>
            <w:tcW w:w="1348" w:type="dxa"/>
          </w:tcPr>
          <w:p w14:paraId="5EFEE5AD" w14:textId="05789E58" w:rsidR="00B3216D" w:rsidRPr="00CA44D7" w:rsidRDefault="00B3216D" w:rsidP="00B3216D">
            <w:pPr>
              <w:jc w:val="center"/>
              <w:rPr>
                <w:rFonts w:ascii="Arial" w:hAnsi="Arial" w:cs="Arial"/>
                <w:sz w:val="20"/>
                <w:szCs w:val="20"/>
              </w:rPr>
            </w:pPr>
          </w:p>
        </w:tc>
        <w:tc>
          <w:tcPr>
            <w:tcW w:w="1473" w:type="dxa"/>
          </w:tcPr>
          <w:p w14:paraId="73BE131C" w14:textId="2F665FDE" w:rsidR="00B3216D" w:rsidRPr="00CA44D7" w:rsidRDefault="00B3216D" w:rsidP="00B3216D">
            <w:pPr>
              <w:jc w:val="center"/>
              <w:rPr>
                <w:rFonts w:ascii="Arial" w:hAnsi="Arial" w:cs="Arial"/>
                <w:sz w:val="20"/>
                <w:szCs w:val="20"/>
              </w:rPr>
            </w:pPr>
          </w:p>
        </w:tc>
        <w:tc>
          <w:tcPr>
            <w:tcW w:w="1723" w:type="dxa"/>
          </w:tcPr>
          <w:p w14:paraId="5DF01447" w14:textId="07825E40" w:rsidR="00B3216D" w:rsidRPr="00CA44D7" w:rsidRDefault="00B3216D" w:rsidP="00B3216D">
            <w:pPr>
              <w:jc w:val="center"/>
              <w:rPr>
                <w:rFonts w:ascii="Arial" w:hAnsi="Arial" w:cs="Arial"/>
                <w:sz w:val="20"/>
                <w:szCs w:val="20"/>
              </w:rPr>
            </w:pPr>
          </w:p>
        </w:tc>
        <w:tc>
          <w:tcPr>
            <w:tcW w:w="784" w:type="dxa"/>
          </w:tcPr>
          <w:p w14:paraId="5E46D26A" w14:textId="682C533E" w:rsidR="00B3216D" w:rsidRPr="00CA44D7" w:rsidRDefault="00B3216D" w:rsidP="00B3216D">
            <w:pPr>
              <w:jc w:val="center"/>
              <w:rPr>
                <w:rFonts w:ascii="Arial" w:hAnsi="Arial" w:cs="Arial"/>
                <w:sz w:val="20"/>
                <w:szCs w:val="20"/>
              </w:rPr>
            </w:pPr>
          </w:p>
        </w:tc>
      </w:tr>
      <w:tr w:rsidR="00B3216D" w14:paraId="376BFB45" w14:textId="77777777" w:rsidTr="00480455">
        <w:trPr>
          <w:jc w:val="center"/>
        </w:trPr>
        <w:tc>
          <w:tcPr>
            <w:tcW w:w="918" w:type="dxa"/>
          </w:tcPr>
          <w:p w14:paraId="37D1D694" w14:textId="0CC790F3" w:rsidR="00B3216D" w:rsidRPr="007E0A27" w:rsidRDefault="00B3216D" w:rsidP="00480455">
            <w:pPr>
              <w:keepNext/>
              <w:keepLines/>
              <w:jc w:val="center"/>
              <w:rPr>
                <w:rFonts w:ascii="Arial" w:hAnsi="Arial" w:cs="Arial"/>
                <w:sz w:val="20"/>
                <w:szCs w:val="20"/>
              </w:rPr>
            </w:pPr>
            <w:r>
              <w:rPr>
                <w:rFonts w:ascii="Arial" w:hAnsi="Arial" w:cs="Arial"/>
                <w:sz w:val="20"/>
                <w:szCs w:val="20"/>
              </w:rPr>
              <w:t>3</w:t>
            </w:r>
          </w:p>
        </w:tc>
        <w:tc>
          <w:tcPr>
            <w:tcW w:w="1260" w:type="dxa"/>
          </w:tcPr>
          <w:p w14:paraId="0821C130" w14:textId="5969C08E" w:rsidR="00B3216D" w:rsidRPr="00E32463" w:rsidRDefault="00480455" w:rsidP="00480455">
            <w:pPr>
              <w:keepNext/>
              <w:keepLines/>
              <w:jc w:val="right"/>
              <w:rPr>
                <w:rFonts w:ascii="Arial" w:hAnsi="Arial" w:cs="Arial"/>
                <w:sz w:val="20"/>
                <w:szCs w:val="20"/>
              </w:rPr>
            </w:pPr>
            <w:r>
              <w:rPr>
                <w:rFonts w:ascii="Arial" w:hAnsi="Arial" w:cs="Arial"/>
                <w:sz w:val="20"/>
                <w:szCs w:val="20"/>
              </w:rPr>
              <w:t>5</w:t>
            </w:r>
            <w:r w:rsidR="00B3216D" w:rsidRPr="00E32463">
              <w:rPr>
                <w:rFonts w:ascii="Arial" w:hAnsi="Arial" w:cs="Arial"/>
                <w:sz w:val="20"/>
                <w:szCs w:val="20"/>
              </w:rPr>
              <w:t>/</w:t>
            </w:r>
            <w:r>
              <w:rPr>
                <w:rFonts w:ascii="Arial" w:hAnsi="Arial" w:cs="Arial"/>
                <w:sz w:val="20"/>
                <w:szCs w:val="20"/>
              </w:rPr>
              <w:t>1</w:t>
            </w:r>
            <w:r w:rsidR="00B3216D" w:rsidRPr="00E32463">
              <w:rPr>
                <w:rFonts w:ascii="Arial" w:hAnsi="Arial" w:cs="Arial"/>
                <w:sz w:val="20"/>
                <w:szCs w:val="20"/>
              </w:rPr>
              <w:t>6/201</w:t>
            </w:r>
            <w:r>
              <w:rPr>
                <w:rFonts w:ascii="Arial" w:hAnsi="Arial" w:cs="Arial"/>
                <w:sz w:val="20"/>
                <w:szCs w:val="20"/>
              </w:rPr>
              <w:t>4</w:t>
            </w:r>
          </w:p>
        </w:tc>
        <w:tc>
          <w:tcPr>
            <w:tcW w:w="1350" w:type="dxa"/>
            <w:vAlign w:val="center"/>
          </w:tcPr>
          <w:p w14:paraId="11FD049D" w14:textId="77777777" w:rsidR="00B3216D" w:rsidRPr="00E32463" w:rsidRDefault="00B3216D" w:rsidP="00B3216D">
            <w:pPr>
              <w:keepNext/>
              <w:keepLines/>
              <w:jc w:val="center"/>
              <w:rPr>
                <w:rFonts w:ascii="Arial" w:hAnsi="Arial" w:cs="Arial"/>
                <w:sz w:val="20"/>
                <w:szCs w:val="20"/>
              </w:rPr>
            </w:pPr>
            <w:r w:rsidRPr="00E32463">
              <w:rPr>
                <w:rFonts w:ascii="Arial" w:hAnsi="Arial" w:cs="Arial"/>
                <w:sz w:val="20"/>
                <w:szCs w:val="20"/>
              </w:rPr>
              <w:t>Friday</w:t>
            </w:r>
          </w:p>
        </w:tc>
        <w:tc>
          <w:tcPr>
            <w:tcW w:w="1348" w:type="dxa"/>
          </w:tcPr>
          <w:p w14:paraId="32A6BB06" w14:textId="3088FB1F" w:rsidR="00B3216D" w:rsidRPr="00CA44D7" w:rsidRDefault="00B3216D" w:rsidP="00B3216D">
            <w:pPr>
              <w:jc w:val="center"/>
              <w:rPr>
                <w:rFonts w:ascii="Arial" w:hAnsi="Arial" w:cs="Arial"/>
                <w:sz w:val="20"/>
                <w:szCs w:val="20"/>
              </w:rPr>
            </w:pPr>
          </w:p>
        </w:tc>
        <w:tc>
          <w:tcPr>
            <w:tcW w:w="1473" w:type="dxa"/>
          </w:tcPr>
          <w:p w14:paraId="4161B3AA" w14:textId="1B33E29A" w:rsidR="00B3216D" w:rsidRPr="00CA44D7" w:rsidRDefault="00B3216D" w:rsidP="00B3216D">
            <w:pPr>
              <w:jc w:val="center"/>
              <w:rPr>
                <w:rFonts w:ascii="Arial" w:hAnsi="Arial" w:cs="Arial"/>
                <w:sz w:val="20"/>
                <w:szCs w:val="20"/>
              </w:rPr>
            </w:pPr>
          </w:p>
        </w:tc>
        <w:tc>
          <w:tcPr>
            <w:tcW w:w="1723" w:type="dxa"/>
          </w:tcPr>
          <w:p w14:paraId="5C365C78" w14:textId="067A419D" w:rsidR="00B3216D" w:rsidRPr="00CA44D7" w:rsidRDefault="00B3216D" w:rsidP="00B3216D">
            <w:pPr>
              <w:jc w:val="center"/>
              <w:rPr>
                <w:rFonts w:ascii="Arial" w:hAnsi="Arial" w:cs="Arial"/>
                <w:sz w:val="20"/>
                <w:szCs w:val="20"/>
              </w:rPr>
            </w:pPr>
          </w:p>
        </w:tc>
        <w:tc>
          <w:tcPr>
            <w:tcW w:w="784" w:type="dxa"/>
          </w:tcPr>
          <w:p w14:paraId="2C864E06" w14:textId="7F5F4F83" w:rsidR="00B3216D" w:rsidRPr="00CA44D7" w:rsidRDefault="00B3216D" w:rsidP="00B3216D">
            <w:pPr>
              <w:jc w:val="center"/>
              <w:rPr>
                <w:rFonts w:ascii="Arial" w:hAnsi="Arial" w:cs="Arial"/>
                <w:sz w:val="20"/>
                <w:szCs w:val="20"/>
              </w:rPr>
            </w:pPr>
          </w:p>
        </w:tc>
      </w:tr>
    </w:tbl>
    <w:p w14:paraId="633D6144" w14:textId="77777777" w:rsidR="008B552C" w:rsidRDefault="008B552C" w:rsidP="008B552C"/>
    <w:p w14:paraId="44C95FBE" w14:textId="2E18F51F" w:rsidR="008B552C" w:rsidRDefault="00B525DE" w:rsidP="008B552C">
      <w:r w:rsidRPr="002D39E4">
        <w:t>Table 4.</w:t>
      </w:r>
      <w:r>
        <w:t xml:space="preserve">11 </w:t>
      </w:r>
      <w:r w:rsidRPr="002D39E4">
        <w:t xml:space="preserve">compares the </w:t>
      </w:r>
      <w:r>
        <w:t>observed loads to the FSLs for each event day. Notice that the FSL for the February 6</w:t>
      </w:r>
      <w:r w:rsidRPr="00A34732">
        <w:rPr>
          <w:vertAlign w:val="superscript"/>
        </w:rPr>
        <w:t>th</w:t>
      </w:r>
      <w:r>
        <w:t xml:space="preserve"> event (1.57 MW) is below the reference load for that event (1.37 MW, shown in Table 4.10), which indicates that, in aggregate, BIP customers did not need to reduce their use to meet their FSL. Both the May 14</w:t>
      </w:r>
      <w:r w:rsidRPr="00A34732">
        <w:rPr>
          <w:vertAlign w:val="superscript"/>
        </w:rPr>
        <w:t>th</w:t>
      </w:r>
      <w:r>
        <w:t xml:space="preserve"> and May 16</w:t>
      </w:r>
      <w:r w:rsidRPr="009627AE">
        <w:rPr>
          <w:vertAlign w:val="superscript"/>
        </w:rPr>
        <w:t>th</w:t>
      </w:r>
      <w:r>
        <w:t xml:space="preserve"> results show underachievement at the program level.</w:t>
      </w:r>
      <w:r w:rsidR="008B552C" w:rsidRPr="002D39E4">
        <w:t xml:space="preserve"> </w:t>
      </w:r>
      <w:r w:rsidR="00A94317">
        <w:t>Note that the contents of the table have been removed due to confidentiality concerns.</w:t>
      </w:r>
    </w:p>
    <w:p w14:paraId="7C6AE764" w14:textId="77777777" w:rsidR="008B552C" w:rsidRDefault="008B552C" w:rsidP="008B552C"/>
    <w:p w14:paraId="2C3BF2B2" w14:textId="617E5FC3" w:rsidR="008B552C" w:rsidRPr="008B552C" w:rsidRDefault="008B552C" w:rsidP="008B552C">
      <w:pPr>
        <w:pStyle w:val="TableCaption"/>
        <w:keepNext/>
        <w:keepLines/>
      </w:pPr>
      <w:bookmarkStart w:id="87" w:name="_Toc351386736"/>
      <w:bookmarkStart w:id="88" w:name="_Toc415489018"/>
      <w:r w:rsidRPr="008B552C">
        <w:t>Table 4.1</w:t>
      </w:r>
      <w:r w:rsidR="00A34732">
        <w:t>1</w:t>
      </w:r>
      <w:r w:rsidRPr="008B552C">
        <w:t xml:space="preserve">: </w:t>
      </w:r>
      <w:r w:rsidR="00A34732" w:rsidRPr="00852320">
        <w:t xml:space="preserve">Average Hourly </w:t>
      </w:r>
      <w:r w:rsidR="00A34732">
        <w:t>Observed Loads and FSLs</w:t>
      </w:r>
      <w:r w:rsidRPr="008B552C">
        <w:rPr>
          <w:i/>
        </w:rPr>
        <w:t>, SDG&amp;E</w:t>
      </w:r>
      <w:bookmarkEnd w:id="87"/>
      <w:bookmarkEnd w:id="8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170"/>
        <w:gridCol w:w="1440"/>
        <w:gridCol w:w="1549"/>
        <w:gridCol w:w="2096"/>
        <w:gridCol w:w="1683"/>
      </w:tblGrid>
      <w:tr w:rsidR="00480455" w14:paraId="336CC91B" w14:textId="77777777" w:rsidTr="00480455">
        <w:trPr>
          <w:jc w:val="center"/>
        </w:trPr>
        <w:tc>
          <w:tcPr>
            <w:tcW w:w="918" w:type="dxa"/>
            <w:shd w:val="clear" w:color="auto" w:fill="D9E2F3"/>
            <w:vAlign w:val="center"/>
          </w:tcPr>
          <w:p w14:paraId="12DA6AD0" w14:textId="77777777" w:rsidR="00480455" w:rsidRPr="007E0A27" w:rsidRDefault="00480455" w:rsidP="00480455">
            <w:pPr>
              <w:keepNext/>
              <w:keepLines/>
              <w:jc w:val="center"/>
              <w:rPr>
                <w:rFonts w:ascii="Arial" w:hAnsi="Arial" w:cs="Arial"/>
                <w:b/>
                <w:sz w:val="20"/>
                <w:szCs w:val="20"/>
              </w:rPr>
            </w:pPr>
            <w:r w:rsidRPr="007E0A27">
              <w:rPr>
                <w:rFonts w:ascii="Arial" w:hAnsi="Arial" w:cs="Arial"/>
                <w:b/>
                <w:sz w:val="20"/>
                <w:szCs w:val="20"/>
              </w:rPr>
              <w:t>Event</w:t>
            </w:r>
          </w:p>
        </w:tc>
        <w:tc>
          <w:tcPr>
            <w:tcW w:w="1170" w:type="dxa"/>
            <w:shd w:val="clear" w:color="auto" w:fill="D9E2F3"/>
            <w:vAlign w:val="center"/>
          </w:tcPr>
          <w:p w14:paraId="6040605D" w14:textId="77777777" w:rsidR="00480455" w:rsidRPr="007E0A27" w:rsidRDefault="00480455" w:rsidP="00480455">
            <w:pPr>
              <w:keepNext/>
              <w:keepLines/>
              <w:jc w:val="center"/>
              <w:rPr>
                <w:rFonts w:ascii="Arial" w:hAnsi="Arial" w:cs="Arial"/>
                <w:b/>
                <w:sz w:val="20"/>
                <w:szCs w:val="20"/>
              </w:rPr>
            </w:pPr>
            <w:r w:rsidRPr="007E0A27">
              <w:rPr>
                <w:rFonts w:ascii="Arial" w:hAnsi="Arial" w:cs="Arial"/>
                <w:b/>
                <w:sz w:val="20"/>
                <w:szCs w:val="20"/>
              </w:rPr>
              <w:t>Date</w:t>
            </w:r>
          </w:p>
        </w:tc>
        <w:tc>
          <w:tcPr>
            <w:tcW w:w="1440" w:type="dxa"/>
            <w:shd w:val="clear" w:color="auto" w:fill="D9E2F3"/>
            <w:vAlign w:val="center"/>
          </w:tcPr>
          <w:p w14:paraId="20BDAF79" w14:textId="77777777" w:rsidR="00480455" w:rsidRPr="007E0A27" w:rsidRDefault="00480455" w:rsidP="00480455">
            <w:pPr>
              <w:keepNext/>
              <w:keepLines/>
              <w:jc w:val="center"/>
              <w:rPr>
                <w:rFonts w:ascii="Arial" w:hAnsi="Arial" w:cs="Arial"/>
                <w:b/>
                <w:sz w:val="20"/>
                <w:szCs w:val="20"/>
              </w:rPr>
            </w:pPr>
            <w:r w:rsidRPr="007E0A27">
              <w:rPr>
                <w:rFonts w:ascii="Arial" w:hAnsi="Arial" w:cs="Arial"/>
                <w:b/>
                <w:sz w:val="20"/>
                <w:szCs w:val="20"/>
              </w:rPr>
              <w:t>Day of Week</w:t>
            </w:r>
          </w:p>
        </w:tc>
        <w:tc>
          <w:tcPr>
            <w:tcW w:w="1549" w:type="dxa"/>
            <w:shd w:val="clear" w:color="auto" w:fill="D9E2F3"/>
            <w:vAlign w:val="center"/>
          </w:tcPr>
          <w:p w14:paraId="529D8F3D" w14:textId="217C9D02" w:rsidR="00480455" w:rsidRDefault="00480455" w:rsidP="00480455">
            <w:pPr>
              <w:keepNext/>
              <w:keepLines/>
              <w:jc w:val="center"/>
              <w:rPr>
                <w:rFonts w:ascii="Arial" w:hAnsi="Arial" w:cs="Arial"/>
                <w:b/>
                <w:sz w:val="20"/>
                <w:szCs w:val="20"/>
              </w:rPr>
            </w:pPr>
            <w:r w:rsidRPr="007E0A27">
              <w:rPr>
                <w:rFonts w:ascii="Arial" w:hAnsi="Arial" w:cs="Arial"/>
                <w:b/>
                <w:sz w:val="20"/>
                <w:szCs w:val="20"/>
              </w:rPr>
              <w:t xml:space="preserve">Average </w:t>
            </w:r>
            <w:r>
              <w:rPr>
                <w:rFonts w:ascii="Arial" w:hAnsi="Arial" w:cs="Arial"/>
                <w:b/>
                <w:sz w:val="20"/>
                <w:szCs w:val="20"/>
              </w:rPr>
              <w:t>Observed</w:t>
            </w:r>
          </w:p>
          <w:p w14:paraId="280166B6" w14:textId="018CFBA5" w:rsidR="00480455" w:rsidRPr="007E0A27" w:rsidRDefault="00480455" w:rsidP="00480455">
            <w:pPr>
              <w:keepNext/>
              <w:keepLines/>
              <w:jc w:val="center"/>
              <w:rPr>
                <w:rFonts w:ascii="Arial" w:hAnsi="Arial" w:cs="Arial"/>
                <w:b/>
                <w:sz w:val="20"/>
                <w:szCs w:val="20"/>
              </w:rPr>
            </w:pPr>
            <w:r>
              <w:rPr>
                <w:rFonts w:ascii="Arial" w:hAnsi="Arial" w:cs="Arial"/>
                <w:b/>
                <w:sz w:val="20"/>
                <w:szCs w:val="20"/>
              </w:rPr>
              <w:t>Load</w:t>
            </w:r>
            <w:r w:rsidRPr="007E0A27">
              <w:rPr>
                <w:rFonts w:ascii="Arial" w:hAnsi="Arial" w:cs="Arial"/>
                <w:b/>
                <w:sz w:val="20"/>
                <w:szCs w:val="20"/>
              </w:rPr>
              <w:t xml:space="preserve"> (MW)</w:t>
            </w:r>
          </w:p>
        </w:tc>
        <w:tc>
          <w:tcPr>
            <w:tcW w:w="2096" w:type="dxa"/>
            <w:shd w:val="clear" w:color="auto" w:fill="D9E2F3"/>
            <w:vAlign w:val="center"/>
          </w:tcPr>
          <w:p w14:paraId="1579825A" w14:textId="44A00887" w:rsidR="00480455" w:rsidRDefault="00480455" w:rsidP="00480455">
            <w:pPr>
              <w:keepNext/>
              <w:keepLines/>
              <w:jc w:val="center"/>
              <w:rPr>
                <w:rFonts w:ascii="Arial" w:hAnsi="Arial" w:cs="Arial"/>
                <w:b/>
                <w:sz w:val="20"/>
                <w:szCs w:val="20"/>
              </w:rPr>
            </w:pPr>
            <w:r>
              <w:rPr>
                <w:rFonts w:ascii="Arial" w:hAnsi="Arial" w:cs="Arial"/>
                <w:b/>
                <w:sz w:val="20"/>
                <w:szCs w:val="20"/>
              </w:rPr>
              <w:t>Average Firm Service</w:t>
            </w:r>
          </w:p>
          <w:p w14:paraId="58CE1EF8" w14:textId="718A78E4" w:rsidR="00480455" w:rsidRPr="007E0A27" w:rsidRDefault="00480455" w:rsidP="00480455">
            <w:pPr>
              <w:keepNext/>
              <w:keepLines/>
              <w:jc w:val="center"/>
              <w:rPr>
                <w:rFonts w:ascii="Arial" w:hAnsi="Arial" w:cs="Arial"/>
                <w:b/>
                <w:sz w:val="20"/>
                <w:szCs w:val="20"/>
              </w:rPr>
            </w:pPr>
            <w:r>
              <w:rPr>
                <w:rFonts w:ascii="Arial" w:hAnsi="Arial" w:cs="Arial"/>
                <w:b/>
                <w:sz w:val="20"/>
                <w:szCs w:val="20"/>
              </w:rPr>
              <w:t>Level</w:t>
            </w:r>
            <w:r w:rsidRPr="007E0A27">
              <w:rPr>
                <w:rFonts w:ascii="Arial" w:hAnsi="Arial" w:cs="Arial"/>
                <w:b/>
                <w:sz w:val="20"/>
                <w:szCs w:val="20"/>
              </w:rPr>
              <w:t xml:space="preserve"> (MW)</w:t>
            </w:r>
          </w:p>
        </w:tc>
        <w:tc>
          <w:tcPr>
            <w:tcW w:w="1683" w:type="dxa"/>
            <w:shd w:val="clear" w:color="auto" w:fill="D9E2F3"/>
            <w:vAlign w:val="center"/>
          </w:tcPr>
          <w:p w14:paraId="63C4AD0C" w14:textId="4A7402BA" w:rsidR="00480455" w:rsidRDefault="00480455" w:rsidP="00480455">
            <w:pPr>
              <w:keepNext/>
              <w:keepLines/>
              <w:jc w:val="center"/>
              <w:rPr>
                <w:rFonts w:ascii="Arial" w:hAnsi="Arial" w:cs="Arial"/>
                <w:b/>
                <w:sz w:val="20"/>
                <w:szCs w:val="20"/>
              </w:rPr>
            </w:pPr>
            <w:r>
              <w:rPr>
                <w:rFonts w:ascii="Arial" w:hAnsi="Arial" w:cs="Arial"/>
                <w:b/>
                <w:sz w:val="20"/>
                <w:szCs w:val="20"/>
              </w:rPr>
              <w:t>Estimated LI /</w:t>
            </w:r>
          </w:p>
          <w:p w14:paraId="7686FB8A" w14:textId="0B2F8E1D" w:rsidR="00480455" w:rsidRPr="007E0A27" w:rsidRDefault="00480455" w:rsidP="00480455">
            <w:pPr>
              <w:keepNext/>
              <w:keepLines/>
              <w:jc w:val="center"/>
              <w:rPr>
                <w:rFonts w:ascii="Arial" w:hAnsi="Arial" w:cs="Arial"/>
                <w:b/>
                <w:sz w:val="20"/>
                <w:szCs w:val="20"/>
              </w:rPr>
            </w:pPr>
            <w:r>
              <w:rPr>
                <w:rFonts w:ascii="Arial" w:hAnsi="Arial" w:cs="Arial"/>
                <w:b/>
                <w:sz w:val="20"/>
                <w:szCs w:val="20"/>
              </w:rPr>
              <w:t>LI at FSL</w:t>
            </w:r>
          </w:p>
        </w:tc>
      </w:tr>
      <w:tr w:rsidR="00480455" w14:paraId="6BB83E60" w14:textId="77777777" w:rsidTr="00480455">
        <w:trPr>
          <w:jc w:val="center"/>
        </w:trPr>
        <w:tc>
          <w:tcPr>
            <w:tcW w:w="918" w:type="dxa"/>
          </w:tcPr>
          <w:p w14:paraId="6F6BE0E8" w14:textId="5014C8D7" w:rsidR="00480455" w:rsidRPr="007E0A27" w:rsidRDefault="00480455" w:rsidP="00480455">
            <w:pPr>
              <w:keepNext/>
              <w:keepLines/>
              <w:jc w:val="center"/>
              <w:rPr>
                <w:rFonts w:ascii="Arial" w:hAnsi="Arial" w:cs="Arial"/>
                <w:sz w:val="20"/>
                <w:szCs w:val="20"/>
              </w:rPr>
            </w:pPr>
            <w:r w:rsidRPr="007E0A27">
              <w:rPr>
                <w:rFonts w:ascii="Arial" w:hAnsi="Arial" w:cs="Arial"/>
                <w:sz w:val="20"/>
                <w:szCs w:val="20"/>
              </w:rPr>
              <w:t>1</w:t>
            </w:r>
          </w:p>
        </w:tc>
        <w:tc>
          <w:tcPr>
            <w:tcW w:w="1170" w:type="dxa"/>
          </w:tcPr>
          <w:p w14:paraId="18A004CB" w14:textId="198B3C0C" w:rsidR="00480455" w:rsidRPr="00E32463" w:rsidRDefault="00480455" w:rsidP="00480455">
            <w:pPr>
              <w:keepNext/>
              <w:keepLines/>
              <w:jc w:val="right"/>
              <w:rPr>
                <w:rFonts w:ascii="Arial" w:hAnsi="Arial" w:cs="Arial"/>
                <w:sz w:val="20"/>
                <w:szCs w:val="20"/>
              </w:rPr>
            </w:pPr>
            <w:r>
              <w:rPr>
                <w:rFonts w:ascii="Arial" w:hAnsi="Arial" w:cs="Arial"/>
                <w:sz w:val="20"/>
                <w:szCs w:val="20"/>
              </w:rPr>
              <w:t>2</w:t>
            </w:r>
            <w:r w:rsidRPr="00E32463">
              <w:rPr>
                <w:rFonts w:ascii="Arial" w:hAnsi="Arial" w:cs="Arial"/>
                <w:sz w:val="20"/>
                <w:szCs w:val="20"/>
              </w:rPr>
              <w:t>/</w:t>
            </w:r>
            <w:r>
              <w:rPr>
                <w:rFonts w:ascii="Arial" w:hAnsi="Arial" w:cs="Arial"/>
                <w:sz w:val="20"/>
                <w:szCs w:val="20"/>
              </w:rPr>
              <w:t>6</w:t>
            </w:r>
            <w:r w:rsidRPr="00E32463">
              <w:rPr>
                <w:rFonts w:ascii="Arial" w:hAnsi="Arial" w:cs="Arial"/>
                <w:sz w:val="20"/>
                <w:szCs w:val="20"/>
              </w:rPr>
              <w:t>/201</w:t>
            </w:r>
            <w:r>
              <w:rPr>
                <w:rFonts w:ascii="Arial" w:hAnsi="Arial" w:cs="Arial"/>
                <w:sz w:val="20"/>
                <w:szCs w:val="20"/>
              </w:rPr>
              <w:t>4</w:t>
            </w:r>
          </w:p>
        </w:tc>
        <w:tc>
          <w:tcPr>
            <w:tcW w:w="1440" w:type="dxa"/>
            <w:vAlign w:val="center"/>
          </w:tcPr>
          <w:p w14:paraId="4DE4916C" w14:textId="36BAA1F4" w:rsidR="00480455" w:rsidRPr="00E32463" w:rsidRDefault="00480455" w:rsidP="00480455">
            <w:pPr>
              <w:keepNext/>
              <w:keepLines/>
              <w:jc w:val="center"/>
              <w:rPr>
                <w:rFonts w:ascii="Arial" w:hAnsi="Arial" w:cs="Arial"/>
                <w:sz w:val="20"/>
                <w:szCs w:val="20"/>
              </w:rPr>
            </w:pPr>
            <w:r w:rsidRPr="00E32463">
              <w:rPr>
                <w:rFonts w:ascii="Arial" w:hAnsi="Arial" w:cs="Arial"/>
                <w:sz w:val="20"/>
                <w:szCs w:val="20"/>
              </w:rPr>
              <w:t>Thursday</w:t>
            </w:r>
          </w:p>
        </w:tc>
        <w:tc>
          <w:tcPr>
            <w:tcW w:w="1549" w:type="dxa"/>
          </w:tcPr>
          <w:p w14:paraId="54ABC67B" w14:textId="37C75B70" w:rsidR="00480455" w:rsidRPr="00CA44D7" w:rsidRDefault="00480455" w:rsidP="00480455">
            <w:pPr>
              <w:jc w:val="center"/>
              <w:rPr>
                <w:rFonts w:ascii="Arial" w:hAnsi="Arial" w:cs="Arial"/>
                <w:sz w:val="20"/>
                <w:szCs w:val="20"/>
              </w:rPr>
            </w:pPr>
          </w:p>
        </w:tc>
        <w:tc>
          <w:tcPr>
            <w:tcW w:w="2096" w:type="dxa"/>
          </w:tcPr>
          <w:p w14:paraId="5CEA4C40" w14:textId="00397843" w:rsidR="00480455" w:rsidRPr="00CA44D7" w:rsidRDefault="00480455" w:rsidP="00480455">
            <w:pPr>
              <w:jc w:val="center"/>
              <w:rPr>
                <w:rFonts w:ascii="Arial" w:hAnsi="Arial" w:cs="Arial"/>
                <w:sz w:val="20"/>
                <w:szCs w:val="20"/>
              </w:rPr>
            </w:pPr>
          </w:p>
        </w:tc>
        <w:tc>
          <w:tcPr>
            <w:tcW w:w="1683" w:type="dxa"/>
          </w:tcPr>
          <w:p w14:paraId="237C1ED9" w14:textId="0BA6272C" w:rsidR="00480455" w:rsidRPr="00CA44D7" w:rsidRDefault="00480455" w:rsidP="00480455">
            <w:pPr>
              <w:jc w:val="center"/>
              <w:rPr>
                <w:rFonts w:ascii="Arial" w:hAnsi="Arial" w:cs="Arial"/>
                <w:sz w:val="20"/>
                <w:szCs w:val="20"/>
              </w:rPr>
            </w:pPr>
          </w:p>
        </w:tc>
      </w:tr>
      <w:tr w:rsidR="00480455" w14:paraId="4D2FF58C" w14:textId="77777777" w:rsidTr="00480455">
        <w:trPr>
          <w:jc w:val="center"/>
        </w:trPr>
        <w:tc>
          <w:tcPr>
            <w:tcW w:w="918" w:type="dxa"/>
          </w:tcPr>
          <w:p w14:paraId="163DD706" w14:textId="325989AD" w:rsidR="00480455" w:rsidRPr="007E0A27" w:rsidRDefault="00480455" w:rsidP="00480455">
            <w:pPr>
              <w:keepNext/>
              <w:keepLines/>
              <w:jc w:val="center"/>
              <w:rPr>
                <w:rFonts w:ascii="Arial" w:hAnsi="Arial" w:cs="Arial"/>
                <w:sz w:val="20"/>
                <w:szCs w:val="20"/>
              </w:rPr>
            </w:pPr>
            <w:r>
              <w:rPr>
                <w:rFonts w:ascii="Arial" w:hAnsi="Arial" w:cs="Arial"/>
                <w:sz w:val="20"/>
                <w:szCs w:val="20"/>
              </w:rPr>
              <w:t>2</w:t>
            </w:r>
          </w:p>
        </w:tc>
        <w:tc>
          <w:tcPr>
            <w:tcW w:w="1170" w:type="dxa"/>
          </w:tcPr>
          <w:p w14:paraId="5D6EB541" w14:textId="10B9EBA4" w:rsidR="00480455" w:rsidRPr="00E32463" w:rsidRDefault="00480455" w:rsidP="00480455">
            <w:pPr>
              <w:keepNext/>
              <w:keepLines/>
              <w:jc w:val="right"/>
              <w:rPr>
                <w:rFonts w:ascii="Arial" w:hAnsi="Arial" w:cs="Arial"/>
                <w:sz w:val="20"/>
                <w:szCs w:val="20"/>
              </w:rPr>
            </w:pPr>
            <w:r>
              <w:rPr>
                <w:rFonts w:ascii="Arial" w:hAnsi="Arial" w:cs="Arial"/>
                <w:sz w:val="20"/>
                <w:szCs w:val="20"/>
              </w:rPr>
              <w:t>5</w:t>
            </w:r>
            <w:r w:rsidRPr="00E32463">
              <w:rPr>
                <w:rFonts w:ascii="Arial" w:hAnsi="Arial" w:cs="Arial"/>
                <w:sz w:val="20"/>
                <w:szCs w:val="20"/>
              </w:rPr>
              <w:t>/</w:t>
            </w:r>
            <w:r>
              <w:rPr>
                <w:rFonts w:ascii="Arial" w:hAnsi="Arial" w:cs="Arial"/>
                <w:sz w:val="20"/>
                <w:szCs w:val="20"/>
              </w:rPr>
              <w:t>14</w:t>
            </w:r>
            <w:r w:rsidRPr="00E32463">
              <w:rPr>
                <w:rFonts w:ascii="Arial" w:hAnsi="Arial" w:cs="Arial"/>
                <w:sz w:val="20"/>
                <w:szCs w:val="20"/>
              </w:rPr>
              <w:t>/201</w:t>
            </w:r>
            <w:r>
              <w:rPr>
                <w:rFonts w:ascii="Arial" w:hAnsi="Arial" w:cs="Arial"/>
                <w:sz w:val="20"/>
                <w:szCs w:val="20"/>
              </w:rPr>
              <w:t>4</w:t>
            </w:r>
          </w:p>
        </w:tc>
        <w:tc>
          <w:tcPr>
            <w:tcW w:w="1440" w:type="dxa"/>
            <w:vAlign w:val="center"/>
          </w:tcPr>
          <w:p w14:paraId="7B2C61AA" w14:textId="3C22FBA9" w:rsidR="00480455" w:rsidRPr="00E32463" w:rsidRDefault="00480455" w:rsidP="00480455">
            <w:pPr>
              <w:keepNext/>
              <w:keepLines/>
              <w:jc w:val="center"/>
              <w:rPr>
                <w:rFonts w:ascii="Arial" w:hAnsi="Arial" w:cs="Arial"/>
                <w:sz w:val="20"/>
                <w:szCs w:val="20"/>
              </w:rPr>
            </w:pPr>
            <w:r>
              <w:rPr>
                <w:rFonts w:ascii="Arial" w:hAnsi="Arial" w:cs="Arial"/>
                <w:sz w:val="20"/>
                <w:szCs w:val="20"/>
              </w:rPr>
              <w:t>Wednes</w:t>
            </w:r>
            <w:r w:rsidRPr="00E32463">
              <w:rPr>
                <w:rFonts w:ascii="Arial" w:hAnsi="Arial" w:cs="Arial"/>
                <w:sz w:val="20"/>
                <w:szCs w:val="20"/>
              </w:rPr>
              <w:t>day</w:t>
            </w:r>
          </w:p>
        </w:tc>
        <w:tc>
          <w:tcPr>
            <w:tcW w:w="1549" w:type="dxa"/>
          </w:tcPr>
          <w:p w14:paraId="70ABBBE7" w14:textId="28E39710" w:rsidR="00480455" w:rsidRPr="00CA44D7" w:rsidRDefault="00480455" w:rsidP="00480455">
            <w:pPr>
              <w:jc w:val="center"/>
              <w:rPr>
                <w:rFonts w:ascii="Arial" w:hAnsi="Arial" w:cs="Arial"/>
                <w:sz w:val="20"/>
                <w:szCs w:val="20"/>
              </w:rPr>
            </w:pPr>
          </w:p>
        </w:tc>
        <w:tc>
          <w:tcPr>
            <w:tcW w:w="2096" w:type="dxa"/>
          </w:tcPr>
          <w:p w14:paraId="07548495" w14:textId="36424F29" w:rsidR="00480455" w:rsidRPr="00CA44D7" w:rsidRDefault="00480455" w:rsidP="00480455">
            <w:pPr>
              <w:jc w:val="center"/>
              <w:rPr>
                <w:rFonts w:ascii="Arial" w:hAnsi="Arial" w:cs="Arial"/>
                <w:sz w:val="20"/>
                <w:szCs w:val="20"/>
              </w:rPr>
            </w:pPr>
          </w:p>
        </w:tc>
        <w:tc>
          <w:tcPr>
            <w:tcW w:w="1683" w:type="dxa"/>
          </w:tcPr>
          <w:p w14:paraId="506EFEC0" w14:textId="760B9AE6" w:rsidR="00480455" w:rsidRPr="00CA44D7" w:rsidRDefault="00480455" w:rsidP="00480455">
            <w:pPr>
              <w:jc w:val="center"/>
              <w:rPr>
                <w:rFonts w:ascii="Arial" w:hAnsi="Arial" w:cs="Arial"/>
                <w:sz w:val="20"/>
                <w:szCs w:val="20"/>
              </w:rPr>
            </w:pPr>
          </w:p>
        </w:tc>
      </w:tr>
      <w:tr w:rsidR="00480455" w14:paraId="65427C69" w14:textId="77777777" w:rsidTr="00480455">
        <w:trPr>
          <w:jc w:val="center"/>
        </w:trPr>
        <w:tc>
          <w:tcPr>
            <w:tcW w:w="918" w:type="dxa"/>
          </w:tcPr>
          <w:p w14:paraId="43EBE7FB" w14:textId="715CE77E" w:rsidR="00480455" w:rsidRPr="007E0A27" w:rsidRDefault="00480455" w:rsidP="00480455">
            <w:pPr>
              <w:keepNext/>
              <w:keepLines/>
              <w:jc w:val="center"/>
              <w:rPr>
                <w:rFonts w:ascii="Arial" w:hAnsi="Arial" w:cs="Arial"/>
                <w:sz w:val="20"/>
                <w:szCs w:val="20"/>
              </w:rPr>
            </w:pPr>
            <w:r>
              <w:rPr>
                <w:rFonts w:ascii="Arial" w:hAnsi="Arial" w:cs="Arial"/>
                <w:sz w:val="20"/>
                <w:szCs w:val="20"/>
              </w:rPr>
              <w:t>3</w:t>
            </w:r>
          </w:p>
        </w:tc>
        <w:tc>
          <w:tcPr>
            <w:tcW w:w="1170" w:type="dxa"/>
          </w:tcPr>
          <w:p w14:paraId="4C2F6625" w14:textId="2289C5EB" w:rsidR="00480455" w:rsidRPr="00E32463" w:rsidRDefault="00480455" w:rsidP="00480455">
            <w:pPr>
              <w:keepNext/>
              <w:keepLines/>
              <w:jc w:val="right"/>
              <w:rPr>
                <w:rFonts w:ascii="Arial" w:hAnsi="Arial" w:cs="Arial"/>
                <w:sz w:val="20"/>
                <w:szCs w:val="20"/>
              </w:rPr>
            </w:pPr>
            <w:r>
              <w:rPr>
                <w:rFonts w:ascii="Arial" w:hAnsi="Arial" w:cs="Arial"/>
                <w:sz w:val="20"/>
                <w:szCs w:val="20"/>
              </w:rPr>
              <w:t>5</w:t>
            </w:r>
            <w:r w:rsidRPr="00E32463">
              <w:rPr>
                <w:rFonts w:ascii="Arial" w:hAnsi="Arial" w:cs="Arial"/>
                <w:sz w:val="20"/>
                <w:szCs w:val="20"/>
              </w:rPr>
              <w:t>/</w:t>
            </w:r>
            <w:r>
              <w:rPr>
                <w:rFonts w:ascii="Arial" w:hAnsi="Arial" w:cs="Arial"/>
                <w:sz w:val="20"/>
                <w:szCs w:val="20"/>
              </w:rPr>
              <w:t>1</w:t>
            </w:r>
            <w:r w:rsidRPr="00E32463">
              <w:rPr>
                <w:rFonts w:ascii="Arial" w:hAnsi="Arial" w:cs="Arial"/>
                <w:sz w:val="20"/>
                <w:szCs w:val="20"/>
              </w:rPr>
              <w:t>6/201</w:t>
            </w:r>
            <w:r>
              <w:rPr>
                <w:rFonts w:ascii="Arial" w:hAnsi="Arial" w:cs="Arial"/>
                <w:sz w:val="20"/>
                <w:szCs w:val="20"/>
              </w:rPr>
              <w:t>4</w:t>
            </w:r>
          </w:p>
        </w:tc>
        <w:tc>
          <w:tcPr>
            <w:tcW w:w="1440" w:type="dxa"/>
            <w:vAlign w:val="center"/>
          </w:tcPr>
          <w:p w14:paraId="516E6ABD" w14:textId="68E81A40" w:rsidR="00480455" w:rsidRPr="00E32463" w:rsidRDefault="00480455" w:rsidP="00480455">
            <w:pPr>
              <w:keepNext/>
              <w:keepLines/>
              <w:jc w:val="center"/>
              <w:rPr>
                <w:rFonts w:ascii="Arial" w:hAnsi="Arial" w:cs="Arial"/>
                <w:sz w:val="20"/>
                <w:szCs w:val="20"/>
              </w:rPr>
            </w:pPr>
            <w:r w:rsidRPr="00E32463">
              <w:rPr>
                <w:rFonts w:ascii="Arial" w:hAnsi="Arial" w:cs="Arial"/>
                <w:sz w:val="20"/>
                <w:szCs w:val="20"/>
              </w:rPr>
              <w:t>Friday</w:t>
            </w:r>
          </w:p>
        </w:tc>
        <w:tc>
          <w:tcPr>
            <w:tcW w:w="1549" w:type="dxa"/>
          </w:tcPr>
          <w:p w14:paraId="1401B193" w14:textId="3D4F0C16" w:rsidR="00480455" w:rsidRPr="00CA44D7" w:rsidRDefault="00480455" w:rsidP="00480455">
            <w:pPr>
              <w:jc w:val="center"/>
              <w:rPr>
                <w:rFonts w:ascii="Arial" w:hAnsi="Arial" w:cs="Arial"/>
                <w:sz w:val="20"/>
                <w:szCs w:val="20"/>
              </w:rPr>
            </w:pPr>
          </w:p>
        </w:tc>
        <w:tc>
          <w:tcPr>
            <w:tcW w:w="2096" w:type="dxa"/>
          </w:tcPr>
          <w:p w14:paraId="200610DF" w14:textId="782BA467" w:rsidR="00480455" w:rsidRPr="00CA44D7" w:rsidRDefault="00480455" w:rsidP="00480455">
            <w:pPr>
              <w:jc w:val="center"/>
              <w:rPr>
                <w:rFonts w:ascii="Arial" w:hAnsi="Arial" w:cs="Arial"/>
                <w:sz w:val="20"/>
                <w:szCs w:val="20"/>
              </w:rPr>
            </w:pPr>
          </w:p>
        </w:tc>
        <w:tc>
          <w:tcPr>
            <w:tcW w:w="1683" w:type="dxa"/>
          </w:tcPr>
          <w:p w14:paraId="23C204E5" w14:textId="3E26F902" w:rsidR="00480455" w:rsidRPr="00CA44D7" w:rsidRDefault="00480455" w:rsidP="00480455">
            <w:pPr>
              <w:jc w:val="center"/>
              <w:rPr>
                <w:rFonts w:ascii="Arial" w:hAnsi="Arial" w:cs="Arial"/>
                <w:sz w:val="20"/>
                <w:szCs w:val="20"/>
              </w:rPr>
            </w:pPr>
          </w:p>
        </w:tc>
      </w:tr>
    </w:tbl>
    <w:p w14:paraId="104048AC" w14:textId="77777777" w:rsidR="008B552C" w:rsidRDefault="008B552C" w:rsidP="008B552C"/>
    <w:p w14:paraId="43A7FDCE" w14:textId="54D32D3B" w:rsidR="00382B60" w:rsidRDefault="00A34732" w:rsidP="008B552C">
      <w:r>
        <w:t>Table 4.12 shows the load impacts for the May 16</w:t>
      </w:r>
      <w:r w:rsidRPr="00A34732">
        <w:rPr>
          <w:vertAlign w:val="superscript"/>
        </w:rPr>
        <w:t>th</w:t>
      </w:r>
      <w:r>
        <w:t xml:space="preserve"> event day by industry group. The two service accounts in the agriculture, mining, and construction group accounted for nearly the entire BIP load impact on that event day</w:t>
      </w:r>
      <w:r w:rsidR="00382B60">
        <w:t>.</w:t>
      </w:r>
      <w:r w:rsidR="00A94317">
        <w:t xml:space="preserve"> Note that the contents of the table have been removed due to confidentiality concerns.</w:t>
      </w:r>
    </w:p>
    <w:p w14:paraId="0FC9C46F" w14:textId="77777777" w:rsidR="00382B60" w:rsidRDefault="00382B60" w:rsidP="00382B60"/>
    <w:p w14:paraId="4A819603" w14:textId="29A9FE24" w:rsidR="00382B60" w:rsidRPr="00852320" w:rsidRDefault="00382B60" w:rsidP="00382B60">
      <w:pPr>
        <w:pStyle w:val="TableCaption"/>
        <w:keepNext/>
        <w:keepLines/>
      </w:pPr>
      <w:bookmarkStart w:id="89" w:name="_Toc415489019"/>
      <w:r w:rsidRPr="00852320">
        <w:t>Table 4.</w:t>
      </w:r>
      <w:r w:rsidR="00A34732">
        <w:t>12</w:t>
      </w:r>
      <w:r w:rsidRPr="00852320">
        <w:t xml:space="preserve">: </w:t>
      </w:r>
      <w:r>
        <w:t xml:space="preserve">May 16, 2014 </w:t>
      </w:r>
      <w:r w:rsidRPr="00852320">
        <w:t>Load Impacts</w:t>
      </w:r>
      <w:r>
        <w:t xml:space="preserve"> – SDG&amp;E </w:t>
      </w:r>
      <w:r w:rsidRPr="00852320">
        <w:t>B</w:t>
      </w:r>
      <w:r>
        <w:t>I</w:t>
      </w:r>
      <w:r w:rsidRPr="00852320">
        <w:t xml:space="preserve">P, </w:t>
      </w:r>
      <w:r w:rsidRPr="00852320">
        <w:rPr>
          <w:i/>
        </w:rPr>
        <w:t>by Industry Group</w:t>
      </w:r>
      <w:bookmarkEnd w:id="8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1374"/>
        <w:gridCol w:w="1621"/>
        <w:gridCol w:w="1364"/>
        <w:gridCol w:w="1496"/>
        <w:gridCol w:w="918"/>
      </w:tblGrid>
      <w:tr w:rsidR="00382B60" w14:paraId="5CA120CA" w14:textId="77777777" w:rsidTr="00382B60">
        <w:trPr>
          <w:jc w:val="center"/>
        </w:trPr>
        <w:tc>
          <w:tcPr>
            <w:tcW w:w="0" w:type="auto"/>
            <w:shd w:val="clear" w:color="auto" w:fill="D9E2F3"/>
            <w:vAlign w:val="center"/>
          </w:tcPr>
          <w:p w14:paraId="6864DA10" w14:textId="77777777" w:rsidR="00382B60" w:rsidRPr="007E0A27" w:rsidRDefault="00382B60" w:rsidP="00A34732">
            <w:pPr>
              <w:keepNext/>
              <w:keepLines/>
              <w:jc w:val="center"/>
              <w:rPr>
                <w:rFonts w:ascii="Arial" w:hAnsi="Arial" w:cs="Arial"/>
                <w:b/>
                <w:sz w:val="20"/>
                <w:szCs w:val="20"/>
              </w:rPr>
            </w:pPr>
            <w:r w:rsidRPr="007E0A27">
              <w:rPr>
                <w:rFonts w:ascii="Arial" w:hAnsi="Arial" w:cs="Arial"/>
                <w:b/>
                <w:sz w:val="20"/>
                <w:szCs w:val="20"/>
              </w:rPr>
              <w:t>Industry Group</w:t>
            </w:r>
          </w:p>
        </w:tc>
        <w:tc>
          <w:tcPr>
            <w:tcW w:w="0" w:type="auto"/>
            <w:shd w:val="clear" w:color="auto" w:fill="D9E2F3"/>
            <w:vAlign w:val="center"/>
          </w:tcPr>
          <w:p w14:paraId="000E8403" w14:textId="77777777" w:rsidR="00382B60" w:rsidRPr="007E0A27" w:rsidRDefault="00382B60" w:rsidP="00A34732">
            <w:pPr>
              <w:keepNext/>
              <w:keepLines/>
              <w:jc w:val="center"/>
              <w:rPr>
                <w:rFonts w:ascii="Arial" w:hAnsi="Arial" w:cs="Arial"/>
                <w:b/>
                <w:sz w:val="20"/>
                <w:szCs w:val="20"/>
              </w:rPr>
            </w:pPr>
            <w:r>
              <w:rPr>
                <w:rFonts w:ascii="Arial" w:hAnsi="Arial" w:cs="Arial"/>
                <w:b/>
                <w:sz w:val="20"/>
                <w:szCs w:val="20"/>
              </w:rPr>
              <w:t># of Service Accounts</w:t>
            </w:r>
          </w:p>
        </w:tc>
        <w:tc>
          <w:tcPr>
            <w:tcW w:w="0" w:type="auto"/>
            <w:shd w:val="clear" w:color="auto" w:fill="D9E2F3"/>
            <w:vAlign w:val="center"/>
          </w:tcPr>
          <w:p w14:paraId="47EB25A8" w14:textId="77777777" w:rsidR="00382B60" w:rsidRPr="007E0A27" w:rsidRDefault="00382B60" w:rsidP="00A34732">
            <w:pPr>
              <w:keepNext/>
              <w:keepLines/>
              <w:jc w:val="center"/>
              <w:rPr>
                <w:rFonts w:ascii="Arial" w:hAnsi="Arial" w:cs="Arial"/>
                <w:b/>
                <w:sz w:val="20"/>
                <w:szCs w:val="20"/>
              </w:rPr>
            </w:pPr>
            <w:r w:rsidRPr="007E0A27">
              <w:rPr>
                <w:rFonts w:ascii="Arial" w:hAnsi="Arial" w:cs="Arial"/>
                <w:b/>
                <w:sz w:val="20"/>
                <w:szCs w:val="20"/>
              </w:rPr>
              <w:t>Estimated Reference Load (MW)</w:t>
            </w:r>
          </w:p>
        </w:tc>
        <w:tc>
          <w:tcPr>
            <w:tcW w:w="0" w:type="auto"/>
            <w:shd w:val="clear" w:color="auto" w:fill="D9E2F3"/>
            <w:vAlign w:val="center"/>
          </w:tcPr>
          <w:p w14:paraId="23106B36" w14:textId="77777777" w:rsidR="00382B60" w:rsidRPr="007E0A27" w:rsidRDefault="00382B60" w:rsidP="00A34732">
            <w:pPr>
              <w:keepNext/>
              <w:keepLines/>
              <w:jc w:val="center"/>
              <w:rPr>
                <w:rFonts w:ascii="Arial" w:hAnsi="Arial" w:cs="Arial"/>
                <w:b/>
                <w:sz w:val="20"/>
                <w:szCs w:val="20"/>
              </w:rPr>
            </w:pPr>
            <w:r w:rsidRPr="007E0A27">
              <w:rPr>
                <w:rFonts w:ascii="Arial" w:hAnsi="Arial" w:cs="Arial"/>
                <w:b/>
                <w:sz w:val="20"/>
                <w:szCs w:val="20"/>
              </w:rPr>
              <w:t>Observed Load (MW)</w:t>
            </w:r>
          </w:p>
        </w:tc>
        <w:tc>
          <w:tcPr>
            <w:tcW w:w="1496" w:type="dxa"/>
            <w:shd w:val="clear" w:color="auto" w:fill="D9E2F3"/>
            <w:vAlign w:val="center"/>
          </w:tcPr>
          <w:p w14:paraId="47EDBB2D" w14:textId="77777777" w:rsidR="00382B60" w:rsidRPr="007E0A27" w:rsidRDefault="00382B60" w:rsidP="00A34732">
            <w:pPr>
              <w:keepNext/>
              <w:keepLines/>
              <w:jc w:val="center"/>
              <w:rPr>
                <w:rFonts w:ascii="Arial" w:hAnsi="Arial" w:cs="Arial"/>
                <w:b/>
                <w:sz w:val="20"/>
                <w:szCs w:val="20"/>
              </w:rPr>
            </w:pPr>
            <w:r w:rsidRPr="007E0A27">
              <w:rPr>
                <w:rFonts w:ascii="Arial" w:hAnsi="Arial" w:cs="Arial"/>
                <w:b/>
                <w:sz w:val="20"/>
                <w:szCs w:val="20"/>
              </w:rPr>
              <w:t>Estimated Load Impact (MW)</w:t>
            </w:r>
          </w:p>
        </w:tc>
        <w:tc>
          <w:tcPr>
            <w:tcW w:w="918" w:type="dxa"/>
            <w:shd w:val="clear" w:color="auto" w:fill="D9E2F3"/>
            <w:vAlign w:val="center"/>
          </w:tcPr>
          <w:p w14:paraId="06328EE8" w14:textId="77777777" w:rsidR="00382B60" w:rsidRPr="007E0A27" w:rsidRDefault="00382B60" w:rsidP="00A34732">
            <w:pPr>
              <w:keepNext/>
              <w:keepLines/>
              <w:jc w:val="center"/>
              <w:rPr>
                <w:rFonts w:ascii="Arial" w:hAnsi="Arial" w:cs="Arial"/>
                <w:b/>
                <w:sz w:val="20"/>
                <w:szCs w:val="20"/>
              </w:rPr>
            </w:pPr>
            <w:r w:rsidRPr="007E0A27">
              <w:rPr>
                <w:rFonts w:ascii="Arial" w:hAnsi="Arial" w:cs="Arial"/>
                <w:b/>
                <w:sz w:val="20"/>
                <w:szCs w:val="20"/>
              </w:rPr>
              <w:t>% LI</w:t>
            </w:r>
          </w:p>
        </w:tc>
      </w:tr>
      <w:tr w:rsidR="00382B60" w14:paraId="198B5F32" w14:textId="77777777" w:rsidTr="00382B60">
        <w:trPr>
          <w:jc w:val="center"/>
        </w:trPr>
        <w:tc>
          <w:tcPr>
            <w:tcW w:w="0" w:type="auto"/>
            <w:vAlign w:val="center"/>
          </w:tcPr>
          <w:p w14:paraId="2C73BC4D" w14:textId="77777777" w:rsidR="00382B60" w:rsidRPr="007E0A27" w:rsidRDefault="00382B60" w:rsidP="00382B60">
            <w:pPr>
              <w:keepNext/>
              <w:keepLines/>
              <w:rPr>
                <w:rFonts w:ascii="Arial" w:hAnsi="Arial" w:cs="Arial"/>
                <w:sz w:val="20"/>
                <w:szCs w:val="20"/>
              </w:rPr>
            </w:pPr>
            <w:r w:rsidRPr="007E0A27">
              <w:rPr>
                <w:rFonts w:ascii="Arial" w:hAnsi="Arial" w:cs="Arial"/>
                <w:sz w:val="20"/>
                <w:szCs w:val="20"/>
              </w:rPr>
              <w:t>Agriculture, Mining, &amp; Construction</w:t>
            </w:r>
          </w:p>
        </w:tc>
        <w:tc>
          <w:tcPr>
            <w:tcW w:w="0" w:type="auto"/>
            <w:vAlign w:val="center"/>
          </w:tcPr>
          <w:p w14:paraId="6F0BA46C" w14:textId="7C6B7869" w:rsidR="00382B60" w:rsidRPr="00382B60" w:rsidRDefault="00382B60" w:rsidP="00382B60">
            <w:pPr>
              <w:jc w:val="right"/>
              <w:rPr>
                <w:rFonts w:ascii="Arial" w:hAnsi="Arial" w:cs="Arial"/>
                <w:sz w:val="20"/>
                <w:szCs w:val="20"/>
              </w:rPr>
            </w:pPr>
          </w:p>
        </w:tc>
        <w:tc>
          <w:tcPr>
            <w:tcW w:w="0" w:type="auto"/>
            <w:vAlign w:val="center"/>
          </w:tcPr>
          <w:p w14:paraId="2CAFA3E5" w14:textId="575F41C8" w:rsidR="00382B60" w:rsidRPr="00382B60" w:rsidRDefault="00382B60" w:rsidP="00382B60">
            <w:pPr>
              <w:jc w:val="right"/>
              <w:rPr>
                <w:rFonts w:ascii="Arial" w:hAnsi="Arial" w:cs="Arial"/>
                <w:sz w:val="20"/>
                <w:szCs w:val="20"/>
              </w:rPr>
            </w:pPr>
          </w:p>
        </w:tc>
        <w:tc>
          <w:tcPr>
            <w:tcW w:w="0" w:type="auto"/>
            <w:vAlign w:val="center"/>
          </w:tcPr>
          <w:p w14:paraId="692F47F4" w14:textId="2DC41B7C" w:rsidR="00382B60" w:rsidRPr="00382B60" w:rsidRDefault="00382B60" w:rsidP="00382B60">
            <w:pPr>
              <w:jc w:val="right"/>
              <w:rPr>
                <w:rFonts w:ascii="Arial" w:hAnsi="Arial" w:cs="Arial"/>
                <w:sz w:val="20"/>
                <w:szCs w:val="20"/>
              </w:rPr>
            </w:pPr>
          </w:p>
        </w:tc>
        <w:tc>
          <w:tcPr>
            <w:tcW w:w="1496" w:type="dxa"/>
            <w:vAlign w:val="center"/>
          </w:tcPr>
          <w:p w14:paraId="55E84B95" w14:textId="6B72CA34" w:rsidR="00382B60" w:rsidRPr="00382B60" w:rsidRDefault="00382B60" w:rsidP="00382B60">
            <w:pPr>
              <w:jc w:val="right"/>
              <w:rPr>
                <w:rFonts w:ascii="Arial" w:hAnsi="Arial" w:cs="Arial"/>
                <w:sz w:val="20"/>
                <w:szCs w:val="20"/>
              </w:rPr>
            </w:pPr>
          </w:p>
        </w:tc>
        <w:tc>
          <w:tcPr>
            <w:tcW w:w="918" w:type="dxa"/>
            <w:vAlign w:val="center"/>
          </w:tcPr>
          <w:p w14:paraId="4BA87B34" w14:textId="60099A56" w:rsidR="00382B60" w:rsidRPr="00382B60" w:rsidRDefault="00382B60" w:rsidP="00382B60">
            <w:pPr>
              <w:jc w:val="right"/>
              <w:rPr>
                <w:rFonts w:ascii="Arial" w:hAnsi="Arial" w:cs="Arial"/>
                <w:sz w:val="20"/>
                <w:szCs w:val="20"/>
              </w:rPr>
            </w:pPr>
          </w:p>
        </w:tc>
      </w:tr>
      <w:tr w:rsidR="00382B60" w14:paraId="1E131A22" w14:textId="77777777" w:rsidTr="00382B60">
        <w:trPr>
          <w:jc w:val="center"/>
        </w:trPr>
        <w:tc>
          <w:tcPr>
            <w:tcW w:w="0" w:type="auto"/>
            <w:vAlign w:val="center"/>
          </w:tcPr>
          <w:p w14:paraId="12CFCAD2" w14:textId="77777777" w:rsidR="00382B60" w:rsidRPr="007E0A27" w:rsidRDefault="00382B60" w:rsidP="00382B60">
            <w:pPr>
              <w:keepNext/>
              <w:keepLines/>
              <w:rPr>
                <w:rFonts w:ascii="Arial" w:hAnsi="Arial" w:cs="Arial"/>
                <w:sz w:val="20"/>
                <w:szCs w:val="20"/>
              </w:rPr>
            </w:pPr>
            <w:r w:rsidRPr="007E0A27">
              <w:rPr>
                <w:rFonts w:ascii="Arial" w:hAnsi="Arial" w:cs="Arial"/>
                <w:sz w:val="20"/>
                <w:szCs w:val="20"/>
              </w:rPr>
              <w:t>Manufacturing</w:t>
            </w:r>
          </w:p>
        </w:tc>
        <w:tc>
          <w:tcPr>
            <w:tcW w:w="0" w:type="auto"/>
            <w:vAlign w:val="center"/>
          </w:tcPr>
          <w:p w14:paraId="48A4A2F8" w14:textId="24DADBA6" w:rsidR="00382B60" w:rsidRPr="00382B60" w:rsidRDefault="00382B60" w:rsidP="00382B60">
            <w:pPr>
              <w:jc w:val="right"/>
              <w:rPr>
                <w:rFonts w:ascii="Arial" w:hAnsi="Arial" w:cs="Arial"/>
                <w:sz w:val="20"/>
                <w:szCs w:val="20"/>
              </w:rPr>
            </w:pPr>
          </w:p>
        </w:tc>
        <w:tc>
          <w:tcPr>
            <w:tcW w:w="0" w:type="auto"/>
            <w:vAlign w:val="center"/>
          </w:tcPr>
          <w:p w14:paraId="6F0CE546" w14:textId="0850F530" w:rsidR="00382B60" w:rsidRPr="00382B60" w:rsidRDefault="00382B60" w:rsidP="00382B60">
            <w:pPr>
              <w:jc w:val="right"/>
              <w:rPr>
                <w:rFonts w:ascii="Arial" w:hAnsi="Arial" w:cs="Arial"/>
                <w:sz w:val="20"/>
                <w:szCs w:val="20"/>
              </w:rPr>
            </w:pPr>
          </w:p>
        </w:tc>
        <w:tc>
          <w:tcPr>
            <w:tcW w:w="0" w:type="auto"/>
            <w:vAlign w:val="center"/>
          </w:tcPr>
          <w:p w14:paraId="5CC49ED2" w14:textId="158AC915" w:rsidR="00382B60" w:rsidRPr="00382B60" w:rsidRDefault="00382B60" w:rsidP="00382B60">
            <w:pPr>
              <w:jc w:val="right"/>
              <w:rPr>
                <w:rFonts w:ascii="Arial" w:hAnsi="Arial" w:cs="Arial"/>
                <w:sz w:val="20"/>
                <w:szCs w:val="20"/>
              </w:rPr>
            </w:pPr>
          </w:p>
        </w:tc>
        <w:tc>
          <w:tcPr>
            <w:tcW w:w="1496" w:type="dxa"/>
            <w:vAlign w:val="center"/>
          </w:tcPr>
          <w:p w14:paraId="7E0DC9CF" w14:textId="44FC13A7" w:rsidR="00382B60" w:rsidRPr="00382B60" w:rsidRDefault="00382B60" w:rsidP="00382B60">
            <w:pPr>
              <w:jc w:val="right"/>
              <w:rPr>
                <w:rFonts w:ascii="Arial" w:hAnsi="Arial" w:cs="Arial"/>
                <w:sz w:val="20"/>
                <w:szCs w:val="20"/>
              </w:rPr>
            </w:pPr>
          </w:p>
        </w:tc>
        <w:tc>
          <w:tcPr>
            <w:tcW w:w="918" w:type="dxa"/>
            <w:vAlign w:val="center"/>
          </w:tcPr>
          <w:p w14:paraId="7203FD23" w14:textId="41F73D6B" w:rsidR="00382B60" w:rsidRPr="00382B60" w:rsidRDefault="00382B60" w:rsidP="00382B60">
            <w:pPr>
              <w:jc w:val="right"/>
              <w:rPr>
                <w:rFonts w:ascii="Arial" w:hAnsi="Arial" w:cs="Arial"/>
                <w:sz w:val="20"/>
                <w:szCs w:val="20"/>
              </w:rPr>
            </w:pPr>
          </w:p>
        </w:tc>
      </w:tr>
      <w:tr w:rsidR="00382B60" w14:paraId="5B246EFC" w14:textId="77777777" w:rsidTr="00382B60">
        <w:trPr>
          <w:jc w:val="center"/>
        </w:trPr>
        <w:tc>
          <w:tcPr>
            <w:tcW w:w="0" w:type="auto"/>
            <w:vAlign w:val="center"/>
          </w:tcPr>
          <w:p w14:paraId="5DDE4BEA" w14:textId="77777777" w:rsidR="00382B60" w:rsidRPr="007E0A27" w:rsidRDefault="00382B60" w:rsidP="00382B60">
            <w:pPr>
              <w:keepNext/>
              <w:keepLines/>
              <w:rPr>
                <w:rFonts w:ascii="Arial" w:hAnsi="Arial" w:cs="Arial"/>
                <w:sz w:val="20"/>
                <w:szCs w:val="20"/>
              </w:rPr>
            </w:pPr>
            <w:r w:rsidRPr="007E0A27">
              <w:rPr>
                <w:rFonts w:ascii="Arial" w:hAnsi="Arial" w:cs="Arial"/>
                <w:sz w:val="20"/>
                <w:szCs w:val="20"/>
              </w:rPr>
              <w:t>Wholesale, Transportation, &amp; Other Utilities</w:t>
            </w:r>
          </w:p>
        </w:tc>
        <w:tc>
          <w:tcPr>
            <w:tcW w:w="0" w:type="auto"/>
            <w:vAlign w:val="center"/>
          </w:tcPr>
          <w:p w14:paraId="34132760" w14:textId="2D2FB854" w:rsidR="00382B60" w:rsidRPr="00382B60" w:rsidRDefault="00382B60" w:rsidP="00382B60">
            <w:pPr>
              <w:jc w:val="right"/>
              <w:rPr>
                <w:rFonts w:ascii="Arial" w:hAnsi="Arial" w:cs="Arial"/>
                <w:sz w:val="20"/>
                <w:szCs w:val="20"/>
              </w:rPr>
            </w:pPr>
          </w:p>
        </w:tc>
        <w:tc>
          <w:tcPr>
            <w:tcW w:w="0" w:type="auto"/>
            <w:vAlign w:val="center"/>
          </w:tcPr>
          <w:p w14:paraId="5DDA5FC5" w14:textId="5FB7E742" w:rsidR="00382B60" w:rsidRPr="00382B60" w:rsidRDefault="00382B60" w:rsidP="00382B60">
            <w:pPr>
              <w:jc w:val="right"/>
              <w:rPr>
                <w:rFonts w:ascii="Arial" w:hAnsi="Arial" w:cs="Arial"/>
                <w:sz w:val="20"/>
                <w:szCs w:val="20"/>
              </w:rPr>
            </w:pPr>
          </w:p>
        </w:tc>
        <w:tc>
          <w:tcPr>
            <w:tcW w:w="0" w:type="auto"/>
            <w:vAlign w:val="center"/>
          </w:tcPr>
          <w:p w14:paraId="1D98F6DD" w14:textId="46199D64" w:rsidR="00382B60" w:rsidRPr="00382B60" w:rsidRDefault="00382B60" w:rsidP="00382B60">
            <w:pPr>
              <w:jc w:val="right"/>
              <w:rPr>
                <w:rFonts w:ascii="Arial" w:hAnsi="Arial" w:cs="Arial"/>
                <w:sz w:val="20"/>
                <w:szCs w:val="20"/>
              </w:rPr>
            </w:pPr>
          </w:p>
        </w:tc>
        <w:tc>
          <w:tcPr>
            <w:tcW w:w="1496" w:type="dxa"/>
            <w:vAlign w:val="center"/>
          </w:tcPr>
          <w:p w14:paraId="10433E26" w14:textId="79582894" w:rsidR="00382B60" w:rsidRPr="00382B60" w:rsidRDefault="00382B60" w:rsidP="00382B60">
            <w:pPr>
              <w:jc w:val="right"/>
              <w:rPr>
                <w:rFonts w:ascii="Arial" w:hAnsi="Arial" w:cs="Arial"/>
                <w:sz w:val="20"/>
                <w:szCs w:val="20"/>
              </w:rPr>
            </w:pPr>
          </w:p>
        </w:tc>
        <w:tc>
          <w:tcPr>
            <w:tcW w:w="918" w:type="dxa"/>
            <w:vAlign w:val="center"/>
          </w:tcPr>
          <w:p w14:paraId="7EB404AD" w14:textId="7B294565" w:rsidR="00382B60" w:rsidRPr="00382B60" w:rsidRDefault="00382B60" w:rsidP="00382B60">
            <w:pPr>
              <w:jc w:val="right"/>
              <w:rPr>
                <w:rFonts w:ascii="Arial" w:hAnsi="Arial" w:cs="Arial"/>
                <w:sz w:val="20"/>
                <w:szCs w:val="20"/>
              </w:rPr>
            </w:pPr>
          </w:p>
        </w:tc>
      </w:tr>
      <w:tr w:rsidR="00382B60" w14:paraId="0A645E1C" w14:textId="77777777" w:rsidTr="00382B60">
        <w:trPr>
          <w:jc w:val="center"/>
        </w:trPr>
        <w:tc>
          <w:tcPr>
            <w:tcW w:w="0" w:type="auto"/>
            <w:vAlign w:val="center"/>
          </w:tcPr>
          <w:p w14:paraId="1FC2A96B" w14:textId="77777777" w:rsidR="00382B60" w:rsidRPr="007E0A27" w:rsidRDefault="00382B60" w:rsidP="00382B60">
            <w:pPr>
              <w:keepNext/>
              <w:keepLines/>
              <w:rPr>
                <w:rFonts w:ascii="Arial" w:hAnsi="Arial" w:cs="Arial"/>
                <w:sz w:val="20"/>
                <w:szCs w:val="20"/>
              </w:rPr>
            </w:pPr>
            <w:r w:rsidRPr="007E0A27">
              <w:rPr>
                <w:rFonts w:ascii="Arial" w:hAnsi="Arial" w:cs="Arial"/>
                <w:sz w:val="20"/>
                <w:szCs w:val="20"/>
              </w:rPr>
              <w:t>Retail Stores</w:t>
            </w:r>
          </w:p>
        </w:tc>
        <w:tc>
          <w:tcPr>
            <w:tcW w:w="0" w:type="auto"/>
            <w:vAlign w:val="center"/>
          </w:tcPr>
          <w:p w14:paraId="09EA289E" w14:textId="0C32D421" w:rsidR="00382B60" w:rsidRPr="00382B60" w:rsidRDefault="00382B60" w:rsidP="00382B60">
            <w:pPr>
              <w:jc w:val="right"/>
              <w:rPr>
                <w:rFonts w:ascii="Arial" w:hAnsi="Arial" w:cs="Arial"/>
                <w:sz w:val="20"/>
                <w:szCs w:val="20"/>
              </w:rPr>
            </w:pPr>
          </w:p>
        </w:tc>
        <w:tc>
          <w:tcPr>
            <w:tcW w:w="0" w:type="auto"/>
            <w:vAlign w:val="center"/>
          </w:tcPr>
          <w:p w14:paraId="7724F875" w14:textId="27D75DB6" w:rsidR="00382B60" w:rsidRPr="00382B60" w:rsidRDefault="00382B60" w:rsidP="00382B60">
            <w:pPr>
              <w:jc w:val="right"/>
              <w:rPr>
                <w:rFonts w:ascii="Arial" w:hAnsi="Arial" w:cs="Arial"/>
                <w:sz w:val="20"/>
                <w:szCs w:val="20"/>
              </w:rPr>
            </w:pPr>
          </w:p>
        </w:tc>
        <w:tc>
          <w:tcPr>
            <w:tcW w:w="0" w:type="auto"/>
            <w:vAlign w:val="center"/>
          </w:tcPr>
          <w:p w14:paraId="605C9025" w14:textId="0EF6A9A8" w:rsidR="00382B60" w:rsidRPr="00382B60" w:rsidRDefault="00382B60" w:rsidP="00382B60">
            <w:pPr>
              <w:jc w:val="right"/>
              <w:rPr>
                <w:rFonts w:ascii="Arial" w:hAnsi="Arial" w:cs="Arial"/>
                <w:sz w:val="20"/>
                <w:szCs w:val="20"/>
              </w:rPr>
            </w:pPr>
          </w:p>
        </w:tc>
        <w:tc>
          <w:tcPr>
            <w:tcW w:w="1496" w:type="dxa"/>
            <w:vAlign w:val="center"/>
          </w:tcPr>
          <w:p w14:paraId="5A12CE28" w14:textId="33C10557" w:rsidR="00382B60" w:rsidRPr="00382B60" w:rsidRDefault="00382B60" w:rsidP="00382B60">
            <w:pPr>
              <w:jc w:val="right"/>
              <w:rPr>
                <w:rFonts w:ascii="Arial" w:hAnsi="Arial" w:cs="Arial"/>
                <w:sz w:val="20"/>
                <w:szCs w:val="20"/>
              </w:rPr>
            </w:pPr>
          </w:p>
        </w:tc>
        <w:tc>
          <w:tcPr>
            <w:tcW w:w="918" w:type="dxa"/>
            <w:vAlign w:val="center"/>
          </w:tcPr>
          <w:p w14:paraId="1E7BB1E5" w14:textId="1ABF30D4" w:rsidR="00382B60" w:rsidRPr="00382B60" w:rsidRDefault="00382B60" w:rsidP="00382B60">
            <w:pPr>
              <w:jc w:val="right"/>
              <w:rPr>
                <w:rFonts w:ascii="Arial" w:hAnsi="Arial" w:cs="Arial"/>
                <w:sz w:val="20"/>
                <w:szCs w:val="20"/>
              </w:rPr>
            </w:pPr>
          </w:p>
        </w:tc>
      </w:tr>
      <w:tr w:rsidR="00382B60" w14:paraId="732A3B2E" w14:textId="77777777" w:rsidTr="00382B60">
        <w:trPr>
          <w:jc w:val="center"/>
        </w:trPr>
        <w:tc>
          <w:tcPr>
            <w:tcW w:w="0" w:type="auto"/>
            <w:vAlign w:val="center"/>
          </w:tcPr>
          <w:p w14:paraId="5CC3519D" w14:textId="77777777" w:rsidR="00382B60" w:rsidRPr="007E0A27" w:rsidRDefault="00382B60" w:rsidP="00382B60">
            <w:pPr>
              <w:keepNext/>
              <w:keepLines/>
              <w:rPr>
                <w:rFonts w:ascii="Arial" w:hAnsi="Arial" w:cs="Arial"/>
                <w:b/>
                <w:sz w:val="20"/>
                <w:szCs w:val="20"/>
              </w:rPr>
            </w:pPr>
            <w:r w:rsidRPr="007E0A27">
              <w:rPr>
                <w:rFonts w:ascii="Arial" w:hAnsi="Arial" w:cs="Arial"/>
                <w:b/>
                <w:sz w:val="20"/>
                <w:szCs w:val="20"/>
              </w:rPr>
              <w:t>Total</w:t>
            </w:r>
          </w:p>
        </w:tc>
        <w:tc>
          <w:tcPr>
            <w:tcW w:w="0" w:type="auto"/>
            <w:vAlign w:val="center"/>
          </w:tcPr>
          <w:p w14:paraId="4C1EE2DB" w14:textId="780AE3D4" w:rsidR="00382B60" w:rsidRPr="00382B60" w:rsidRDefault="00382B60" w:rsidP="00382B60">
            <w:pPr>
              <w:jc w:val="right"/>
              <w:rPr>
                <w:rFonts w:ascii="Arial" w:hAnsi="Arial" w:cs="Arial"/>
                <w:b/>
                <w:sz w:val="20"/>
                <w:szCs w:val="20"/>
              </w:rPr>
            </w:pPr>
          </w:p>
        </w:tc>
        <w:tc>
          <w:tcPr>
            <w:tcW w:w="0" w:type="auto"/>
            <w:vAlign w:val="center"/>
          </w:tcPr>
          <w:p w14:paraId="57F1B7D6" w14:textId="70153122" w:rsidR="00382B60" w:rsidRPr="00382B60" w:rsidRDefault="00382B60" w:rsidP="00382B60">
            <w:pPr>
              <w:jc w:val="right"/>
              <w:rPr>
                <w:rFonts w:ascii="Arial" w:hAnsi="Arial" w:cs="Arial"/>
                <w:b/>
                <w:sz w:val="20"/>
                <w:szCs w:val="20"/>
              </w:rPr>
            </w:pPr>
          </w:p>
        </w:tc>
        <w:tc>
          <w:tcPr>
            <w:tcW w:w="0" w:type="auto"/>
            <w:vAlign w:val="center"/>
          </w:tcPr>
          <w:p w14:paraId="6F266322" w14:textId="423B1804" w:rsidR="00382B60" w:rsidRPr="00382B60" w:rsidRDefault="00382B60" w:rsidP="00382B60">
            <w:pPr>
              <w:jc w:val="right"/>
              <w:rPr>
                <w:rFonts w:ascii="Arial" w:hAnsi="Arial" w:cs="Arial"/>
                <w:b/>
                <w:sz w:val="20"/>
                <w:szCs w:val="20"/>
              </w:rPr>
            </w:pPr>
          </w:p>
        </w:tc>
        <w:tc>
          <w:tcPr>
            <w:tcW w:w="1496" w:type="dxa"/>
            <w:vAlign w:val="center"/>
          </w:tcPr>
          <w:p w14:paraId="2EB5F9C0" w14:textId="571E58A2" w:rsidR="00382B60" w:rsidRPr="00382B60" w:rsidRDefault="00382B60" w:rsidP="00382B60">
            <w:pPr>
              <w:jc w:val="right"/>
              <w:rPr>
                <w:rFonts w:ascii="Arial" w:hAnsi="Arial" w:cs="Arial"/>
                <w:b/>
                <w:sz w:val="20"/>
                <w:szCs w:val="20"/>
              </w:rPr>
            </w:pPr>
          </w:p>
        </w:tc>
        <w:tc>
          <w:tcPr>
            <w:tcW w:w="918" w:type="dxa"/>
            <w:vAlign w:val="center"/>
          </w:tcPr>
          <w:p w14:paraId="163B11E5" w14:textId="1500B4A2" w:rsidR="00382B60" w:rsidRPr="00382B60" w:rsidRDefault="00382B60" w:rsidP="00382B60">
            <w:pPr>
              <w:jc w:val="right"/>
              <w:rPr>
                <w:rFonts w:ascii="Arial" w:hAnsi="Arial" w:cs="Arial"/>
                <w:b/>
                <w:sz w:val="20"/>
                <w:szCs w:val="20"/>
              </w:rPr>
            </w:pPr>
          </w:p>
        </w:tc>
      </w:tr>
    </w:tbl>
    <w:p w14:paraId="362D4E5F" w14:textId="77777777" w:rsidR="00382B60" w:rsidRDefault="00382B60" w:rsidP="00382B60"/>
    <w:p w14:paraId="0D309EAB" w14:textId="77777777" w:rsidR="008B552C" w:rsidRPr="00146E50" w:rsidRDefault="008B552C" w:rsidP="008B552C">
      <w:pPr>
        <w:pStyle w:val="Heading3"/>
        <w:rPr>
          <w:sz w:val="22"/>
          <w:szCs w:val="22"/>
        </w:rPr>
      </w:pPr>
      <w:bookmarkStart w:id="90" w:name="_Toc351386684"/>
      <w:bookmarkStart w:id="91" w:name="_Toc415488963"/>
      <w:r>
        <w:rPr>
          <w:sz w:val="22"/>
          <w:szCs w:val="22"/>
        </w:rPr>
        <w:t xml:space="preserve">4.3.2 </w:t>
      </w:r>
      <w:r w:rsidRPr="00146E50">
        <w:rPr>
          <w:sz w:val="22"/>
          <w:szCs w:val="22"/>
        </w:rPr>
        <w:t>Hourly Load Impacts</w:t>
      </w:r>
      <w:bookmarkEnd w:id="90"/>
      <w:bookmarkEnd w:id="91"/>
      <w:r w:rsidRPr="00146E50">
        <w:rPr>
          <w:sz w:val="22"/>
          <w:szCs w:val="22"/>
        </w:rPr>
        <w:t xml:space="preserve"> </w:t>
      </w:r>
    </w:p>
    <w:p w14:paraId="1D43B1BB" w14:textId="42F7F1E0" w:rsidR="008B552C" w:rsidRDefault="008B552C" w:rsidP="008B552C">
      <w:r>
        <w:t xml:space="preserve">Table 4.13 presents hourly load impacts </w:t>
      </w:r>
      <w:r w:rsidR="00377A09">
        <w:t xml:space="preserve">for </w:t>
      </w:r>
      <w:r>
        <w:t xml:space="preserve">the </w:t>
      </w:r>
      <w:r w:rsidR="00377A09">
        <w:t>May 16</w:t>
      </w:r>
      <w:r w:rsidR="00377A09" w:rsidRPr="00377A09">
        <w:rPr>
          <w:vertAlign w:val="superscript"/>
        </w:rPr>
        <w:t>th</w:t>
      </w:r>
      <w:r w:rsidR="00377A09">
        <w:t xml:space="preserve"> event day. We do no</w:t>
      </w:r>
      <w:r w:rsidR="00B558B4">
        <w:t>t</w:t>
      </w:r>
      <w:r w:rsidR="00377A09">
        <w:t xml:space="preserve"> present an “average event day” because of the dissimilarities across the three events. That is, one event is in winter while the other two are in May, and the two May events have different event windows. </w:t>
      </w:r>
    </w:p>
    <w:p w14:paraId="490621D5" w14:textId="77777777" w:rsidR="008B552C" w:rsidRDefault="008B552C" w:rsidP="008B552C">
      <w:r>
        <w:lastRenderedPageBreak/>
        <w:t xml:space="preserve"> </w:t>
      </w:r>
    </w:p>
    <w:p w14:paraId="0B4CCC7D" w14:textId="507F69E3" w:rsidR="008B552C" w:rsidRPr="008B552C" w:rsidRDefault="008B552C" w:rsidP="008B552C">
      <w:pPr>
        <w:pStyle w:val="TableCaption"/>
        <w:keepNext/>
        <w:keepLines/>
      </w:pPr>
      <w:bookmarkStart w:id="92" w:name="_Toc351386737"/>
      <w:bookmarkStart w:id="93" w:name="_Toc415489020"/>
      <w:r w:rsidRPr="008B552C">
        <w:t xml:space="preserve">Table 4.13: </w:t>
      </w:r>
      <w:r w:rsidR="00377A09">
        <w:t xml:space="preserve">BIP </w:t>
      </w:r>
      <w:r w:rsidRPr="008B552C">
        <w:t xml:space="preserve">Hourly Load Impacts for the </w:t>
      </w:r>
      <w:r w:rsidR="00377A09">
        <w:t>May 16, 2014</w:t>
      </w:r>
      <w:r w:rsidRPr="008B552C">
        <w:t xml:space="preserve"> Event Day, </w:t>
      </w:r>
      <w:r w:rsidRPr="008B552C">
        <w:rPr>
          <w:i/>
        </w:rPr>
        <w:t>SDG&amp;E</w:t>
      </w:r>
      <w:bookmarkEnd w:id="92"/>
      <w:bookmarkEnd w:id="93"/>
    </w:p>
    <w:p w14:paraId="1C4D7E4D" w14:textId="61FB21A1" w:rsidR="008B552C" w:rsidRPr="00B846C5" w:rsidRDefault="00A94317" w:rsidP="00A94317">
      <w:pPr>
        <w:keepNext/>
        <w:keepLines/>
        <w:jc w:val="center"/>
      </w:pPr>
      <w:r w:rsidRPr="005D4700">
        <w:t>These results have been removed due to confidentiality concerns.</w:t>
      </w:r>
    </w:p>
    <w:p w14:paraId="63F30DDD" w14:textId="77777777" w:rsidR="008B552C" w:rsidRDefault="008B552C" w:rsidP="008B552C"/>
    <w:p w14:paraId="12A58DD7" w14:textId="4D50BFF7" w:rsidR="008B552C" w:rsidRDefault="008B552C" w:rsidP="008B552C">
      <w:r>
        <w:t>Figure 4.</w:t>
      </w:r>
      <w:r w:rsidR="00A34732">
        <w:t>4</w:t>
      </w:r>
      <w:r w:rsidR="00516550">
        <w:t xml:space="preserve"> </w:t>
      </w:r>
      <w:r>
        <w:t>illustrate</w:t>
      </w:r>
      <w:r w:rsidR="00377A09">
        <w:t>s</w:t>
      </w:r>
      <w:r>
        <w:t xml:space="preserve"> the hourly reference load, observed load, and load impact for the </w:t>
      </w:r>
      <w:r w:rsidR="00377A09">
        <w:t>May 16</w:t>
      </w:r>
      <w:r w:rsidR="00377A09" w:rsidRPr="00377A09">
        <w:rPr>
          <w:vertAlign w:val="superscript"/>
        </w:rPr>
        <w:t>th</w:t>
      </w:r>
      <w:r w:rsidR="00377A09">
        <w:t xml:space="preserve"> event day. </w:t>
      </w:r>
      <w:r w:rsidR="00B558B4">
        <w:t xml:space="preserve">The scale for the hourly load impacts is shown on the right-hand side of the figure. </w:t>
      </w:r>
      <w:r w:rsidR="00377A09">
        <w:t>Figure 4.5 shows the hourly load impacts for each of the three event days.</w:t>
      </w:r>
      <w:r>
        <w:t xml:space="preserve"> </w:t>
      </w:r>
    </w:p>
    <w:p w14:paraId="743F275A" w14:textId="1B43A2BC" w:rsidR="008B552C" w:rsidRPr="0097115E" w:rsidRDefault="008B552C" w:rsidP="0097115E">
      <w:pPr>
        <w:pStyle w:val="FigureCaption"/>
      </w:pPr>
      <w:r>
        <w:br w:type="page"/>
      </w:r>
      <w:bookmarkStart w:id="94" w:name="_Toc351386770"/>
      <w:bookmarkStart w:id="95" w:name="_Toc415489055"/>
      <w:r w:rsidRPr="0097115E">
        <w:lastRenderedPageBreak/>
        <w:t>Figure 4.</w:t>
      </w:r>
      <w:r w:rsidR="00A34732">
        <w:t>4</w:t>
      </w:r>
      <w:r w:rsidR="00377A09">
        <w:t xml:space="preserve">: </w:t>
      </w:r>
      <w:r w:rsidRPr="0097115E">
        <w:t>B</w:t>
      </w:r>
      <w:r w:rsidR="00377A09">
        <w:t>I</w:t>
      </w:r>
      <w:r w:rsidRPr="0097115E">
        <w:t xml:space="preserve">P </w:t>
      </w:r>
      <w:r w:rsidR="00377A09">
        <w:t>May 16, 2014</w:t>
      </w:r>
      <w:r w:rsidR="00516550" w:rsidRPr="0097115E">
        <w:t xml:space="preserve"> L</w:t>
      </w:r>
      <w:r w:rsidRPr="0097115E">
        <w:t xml:space="preserve">oad Impacts, </w:t>
      </w:r>
      <w:r w:rsidRPr="0097115E">
        <w:rPr>
          <w:i/>
        </w:rPr>
        <w:t>SDG&amp;E</w:t>
      </w:r>
      <w:bookmarkEnd w:id="94"/>
      <w:bookmarkEnd w:id="95"/>
    </w:p>
    <w:p w14:paraId="35D59504" w14:textId="6B30AC09" w:rsidR="008B552C" w:rsidRPr="00B846C5" w:rsidRDefault="00A94317" w:rsidP="008B552C">
      <w:pPr>
        <w:keepNext/>
        <w:keepLines/>
        <w:jc w:val="center"/>
      </w:pPr>
      <w:r w:rsidRPr="005D4700">
        <w:t>These results have been removed due to confidentiality concerns.</w:t>
      </w:r>
    </w:p>
    <w:p w14:paraId="5DC294E4" w14:textId="77777777" w:rsidR="008B552C" w:rsidRDefault="008B552C" w:rsidP="008B552C"/>
    <w:p w14:paraId="0CD6D1E3" w14:textId="6CAEB23D" w:rsidR="008B552C" w:rsidRPr="0097115E" w:rsidRDefault="008B552C" w:rsidP="0097115E">
      <w:pPr>
        <w:pStyle w:val="FigureCaption"/>
        <w:keepNext/>
        <w:keepLines/>
      </w:pPr>
      <w:bookmarkStart w:id="96" w:name="_Toc351386771"/>
      <w:bookmarkStart w:id="97" w:name="_Toc415489056"/>
      <w:r w:rsidRPr="0097115E">
        <w:t>Figure 4.</w:t>
      </w:r>
      <w:r w:rsidR="00A34732">
        <w:t>5</w:t>
      </w:r>
      <w:r w:rsidRPr="0097115E">
        <w:t>:</w:t>
      </w:r>
      <w:bookmarkEnd w:id="96"/>
      <w:r w:rsidR="00A34732" w:rsidRPr="00A34732">
        <w:t xml:space="preserve"> </w:t>
      </w:r>
      <w:r w:rsidR="00A34732" w:rsidRPr="0097115E">
        <w:t xml:space="preserve">Hourly Load Impacts by Event, </w:t>
      </w:r>
      <w:r w:rsidR="00A34732">
        <w:rPr>
          <w:i/>
        </w:rPr>
        <w:t>SD</w:t>
      </w:r>
      <w:r w:rsidR="00A34732" w:rsidRPr="0097115E">
        <w:rPr>
          <w:i/>
        </w:rPr>
        <w:t>G&amp;E</w:t>
      </w:r>
      <w:bookmarkEnd w:id="97"/>
    </w:p>
    <w:p w14:paraId="283EA9E3" w14:textId="7B5FA47A" w:rsidR="00A3442A" w:rsidRPr="00A3442A" w:rsidRDefault="00A94317" w:rsidP="00A94317">
      <w:pPr>
        <w:keepNext/>
        <w:keepLines/>
        <w:jc w:val="center"/>
      </w:pPr>
      <w:r w:rsidRPr="005D4700">
        <w:t>These results have been removed due to confidentiality concerns.</w:t>
      </w:r>
    </w:p>
    <w:p w14:paraId="34C9AD8D" w14:textId="5648CE9B" w:rsidR="00AF3625" w:rsidRDefault="00AF3625" w:rsidP="00B63E3A"/>
    <w:p w14:paraId="3813D5B6" w14:textId="05E3A8C5" w:rsidR="0092030A" w:rsidRDefault="00DD01A1" w:rsidP="0092030A">
      <w:pPr>
        <w:pStyle w:val="Heading1"/>
      </w:pPr>
      <w:bookmarkStart w:id="98" w:name="_Toc415488964"/>
      <w:r>
        <w:t>5</w:t>
      </w:r>
      <w:r w:rsidR="0092030A">
        <w:t xml:space="preserve">. </w:t>
      </w:r>
      <w:r w:rsidR="00197099">
        <w:t>Ex Ante Load Impact Forecast</w:t>
      </w:r>
      <w:bookmarkEnd w:id="98"/>
    </w:p>
    <w:p w14:paraId="5409C13C" w14:textId="77777777" w:rsidR="003E718A" w:rsidRDefault="003E718A" w:rsidP="003E718A">
      <w:pPr>
        <w:pStyle w:val="Heading2"/>
      </w:pPr>
      <w:bookmarkStart w:id="99" w:name="_Toc289180090"/>
      <w:bookmarkStart w:id="100" w:name="_Toc326224653"/>
      <w:bookmarkStart w:id="101" w:name="_Toc411324208"/>
      <w:bookmarkStart w:id="102" w:name="_Toc415488965"/>
      <w:r>
        <w:t>5.1 Ex Ante Load Impact Requirements</w:t>
      </w:r>
      <w:bookmarkEnd w:id="99"/>
      <w:bookmarkEnd w:id="100"/>
      <w:bookmarkEnd w:id="101"/>
      <w:bookmarkEnd w:id="102"/>
    </w:p>
    <w:p w14:paraId="5F26973F" w14:textId="77777777" w:rsidR="003E718A" w:rsidRDefault="003E718A" w:rsidP="003E718A">
      <w:pPr>
        <w:spacing w:after="240"/>
      </w:pPr>
      <w:r>
        <w:t>The DR Load Impact Evaluation Protocols require that hourly load impact forecasts for event-based DR resources must be reported at the program level and by LCA for the following scenarios:</w:t>
      </w:r>
    </w:p>
    <w:p w14:paraId="66853203" w14:textId="77777777" w:rsidR="003E718A" w:rsidRDefault="003E718A" w:rsidP="003E718A">
      <w:pPr>
        <w:numPr>
          <w:ilvl w:val="0"/>
          <w:numId w:val="3"/>
        </w:numPr>
        <w:tabs>
          <w:tab w:val="clear" w:pos="720"/>
          <w:tab w:val="num" w:pos="-360"/>
        </w:tabs>
      </w:pPr>
      <w:r>
        <w:t>For a typical event day in each year; and</w:t>
      </w:r>
    </w:p>
    <w:p w14:paraId="1EDC8D09" w14:textId="77777777" w:rsidR="003E718A" w:rsidRDefault="003E718A" w:rsidP="003E718A">
      <w:pPr>
        <w:numPr>
          <w:ilvl w:val="0"/>
          <w:numId w:val="3"/>
        </w:numPr>
        <w:tabs>
          <w:tab w:val="clear" w:pos="720"/>
          <w:tab w:val="num" w:pos="-360"/>
        </w:tabs>
      </w:pPr>
      <w:r>
        <w:t>For the monthly system peak load day in each month for which the resource is available;</w:t>
      </w:r>
    </w:p>
    <w:p w14:paraId="0E1B53FC" w14:textId="77777777" w:rsidR="003E718A" w:rsidRDefault="003E718A" w:rsidP="003E718A">
      <w:pPr>
        <w:spacing w:before="240" w:after="240"/>
      </w:pPr>
      <w:r>
        <w:t>under both:</w:t>
      </w:r>
    </w:p>
    <w:p w14:paraId="4971A97D" w14:textId="7227C77B" w:rsidR="003E718A" w:rsidRDefault="003E718A" w:rsidP="003E718A">
      <w:pPr>
        <w:numPr>
          <w:ilvl w:val="0"/>
          <w:numId w:val="4"/>
        </w:numPr>
        <w:tabs>
          <w:tab w:val="clear" w:pos="720"/>
          <w:tab w:val="num" w:pos="-360"/>
        </w:tabs>
      </w:pPr>
      <w:r>
        <w:t>1-in-2 weather conditions</w:t>
      </w:r>
      <w:r w:rsidR="00B525DE">
        <w:t xml:space="preserve"> for both utility-specific and CAISO-coincident load conditions</w:t>
      </w:r>
      <w:r>
        <w:t>, and</w:t>
      </w:r>
    </w:p>
    <w:p w14:paraId="287FEA11" w14:textId="4480C8A3" w:rsidR="003E718A" w:rsidRDefault="003E718A" w:rsidP="003E718A">
      <w:pPr>
        <w:numPr>
          <w:ilvl w:val="0"/>
          <w:numId w:val="4"/>
        </w:numPr>
        <w:tabs>
          <w:tab w:val="clear" w:pos="720"/>
          <w:tab w:val="num" w:pos="-360"/>
        </w:tabs>
      </w:pPr>
      <w:r>
        <w:t>1-in-10 weather conditions for both utility-specific and CAISO-coincident load conditions;</w:t>
      </w:r>
    </w:p>
    <w:p w14:paraId="4E4356DB" w14:textId="77777777" w:rsidR="003E718A" w:rsidRDefault="003E718A" w:rsidP="003E718A">
      <w:pPr>
        <w:spacing w:before="240" w:after="240"/>
      </w:pPr>
      <w:bookmarkStart w:id="103" w:name="_Toc199306252"/>
      <w:r>
        <w:t>at both:</w:t>
      </w:r>
    </w:p>
    <w:p w14:paraId="0867F0BF" w14:textId="77777777" w:rsidR="003E718A" w:rsidRDefault="003E718A" w:rsidP="003E718A">
      <w:pPr>
        <w:numPr>
          <w:ilvl w:val="0"/>
          <w:numId w:val="4"/>
        </w:numPr>
        <w:tabs>
          <w:tab w:val="clear" w:pos="720"/>
          <w:tab w:val="num" w:pos="-360"/>
        </w:tabs>
      </w:pPr>
      <w:r>
        <w:t>the program level (</w:t>
      </w:r>
      <w:r w:rsidRPr="0057112A">
        <w:rPr>
          <w:i/>
        </w:rPr>
        <w:t>i.e.</w:t>
      </w:r>
      <w:r>
        <w:t>, in which only the program in question is called), and</w:t>
      </w:r>
    </w:p>
    <w:p w14:paraId="168B730E" w14:textId="77777777" w:rsidR="003E718A" w:rsidRDefault="003E718A" w:rsidP="003E718A">
      <w:pPr>
        <w:numPr>
          <w:ilvl w:val="0"/>
          <w:numId w:val="4"/>
        </w:numPr>
        <w:tabs>
          <w:tab w:val="clear" w:pos="720"/>
          <w:tab w:val="num" w:pos="-360"/>
        </w:tabs>
      </w:pPr>
      <w:r>
        <w:t>the portfolio level (</w:t>
      </w:r>
      <w:r w:rsidRPr="0057112A">
        <w:rPr>
          <w:i/>
        </w:rPr>
        <w:t>i.e.</w:t>
      </w:r>
      <w:r>
        <w:t>, in which all demand response programs are called).</w:t>
      </w:r>
    </w:p>
    <w:p w14:paraId="7EC9A53E" w14:textId="77777777" w:rsidR="003E718A" w:rsidRDefault="003E718A" w:rsidP="003E718A">
      <w:pPr>
        <w:pStyle w:val="Heading2"/>
      </w:pPr>
      <w:bookmarkStart w:id="104" w:name="_Toc227658379"/>
      <w:bookmarkStart w:id="105" w:name="_Toc252887012"/>
      <w:bookmarkStart w:id="106" w:name="_Toc257708624"/>
      <w:bookmarkStart w:id="107" w:name="_Toc289180091"/>
      <w:bookmarkStart w:id="108" w:name="_Toc326224654"/>
      <w:bookmarkStart w:id="109" w:name="_Toc411324209"/>
      <w:bookmarkStart w:id="110" w:name="_Toc415488966"/>
      <w:r>
        <w:t>5.2 Description of Methods</w:t>
      </w:r>
      <w:bookmarkEnd w:id="103"/>
      <w:bookmarkEnd w:id="104"/>
      <w:bookmarkEnd w:id="105"/>
      <w:bookmarkEnd w:id="106"/>
      <w:bookmarkEnd w:id="107"/>
      <w:bookmarkEnd w:id="108"/>
      <w:bookmarkEnd w:id="109"/>
      <w:bookmarkEnd w:id="110"/>
    </w:p>
    <w:p w14:paraId="18D52E77" w14:textId="7C610182" w:rsidR="003E718A" w:rsidRDefault="003E718A" w:rsidP="003E718A">
      <w:r>
        <w:t>This section describes the methods used to develop the relevant groups of customers, to develop reference loads for the re</w:t>
      </w:r>
      <w:r w:rsidR="00B558B4">
        <w:t>levant customer types and event-</w:t>
      </w:r>
      <w:r>
        <w:t>day</w:t>
      </w:r>
      <w:r w:rsidR="00B558B4">
        <w:t xml:space="preserve"> </w:t>
      </w:r>
      <w:r>
        <w:t xml:space="preserve">types, and to develop load impacts for a typical event day.  </w:t>
      </w:r>
    </w:p>
    <w:p w14:paraId="45645748" w14:textId="77777777" w:rsidR="003E718A" w:rsidRPr="00D5415E" w:rsidRDefault="003E718A" w:rsidP="003E718A">
      <w:pPr>
        <w:pStyle w:val="Heading3"/>
        <w:rPr>
          <w:sz w:val="22"/>
          <w:szCs w:val="22"/>
        </w:rPr>
      </w:pPr>
      <w:bookmarkStart w:id="111" w:name="_Toc227658380"/>
      <w:bookmarkStart w:id="112" w:name="_Toc252887013"/>
      <w:bookmarkStart w:id="113" w:name="_Toc257708625"/>
      <w:bookmarkStart w:id="114" w:name="_Toc289180092"/>
      <w:bookmarkStart w:id="115" w:name="_Toc326224655"/>
      <w:bookmarkStart w:id="116" w:name="_Toc411324210"/>
      <w:bookmarkStart w:id="117" w:name="_Toc415488967"/>
      <w:r>
        <w:rPr>
          <w:sz w:val="22"/>
          <w:szCs w:val="22"/>
        </w:rPr>
        <w:t>5</w:t>
      </w:r>
      <w:r w:rsidRPr="00D5415E">
        <w:rPr>
          <w:sz w:val="22"/>
          <w:szCs w:val="22"/>
        </w:rPr>
        <w:t>.2.1 Development of Customer Groups</w:t>
      </w:r>
      <w:bookmarkEnd w:id="111"/>
      <w:bookmarkEnd w:id="112"/>
      <w:bookmarkEnd w:id="113"/>
      <w:bookmarkEnd w:id="114"/>
      <w:bookmarkEnd w:id="115"/>
      <w:bookmarkEnd w:id="116"/>
      <w:bookmarkEnd w:id="117"/>
    </w:p>
    <w:p w14:paraId="35754D02" w14:textId="77777777" w:rsidR="003E718A" w:rsidRDefault="003E718A" w:rsidP="003E718A">
      <w:r>
        <w:t>For PG&amp;E’s program, customer accounts were assigned to one of three size groups and the relevant LCA. The three size groups were the following:</w:t>
      </w:r>
    </w:p>
    <w:p w14:paraId="7018161F" w14:textId="77777777" w:rsidR="003E718A" w:rsidRDefault="003E718A" w:rsidP="003E718A">
      <w:pPr>
        <w:numPr>
          <w:ilvl w:val="0"/>
          <w:numId w:val="5"/>
        </w:numPr>
        <w:tabs>
          <w:tab w:val="clear" w:pos="720"/>
          <w:tab w:val="num" w:pos="-360"/>
        </w:tabs>
      </w:pPr>
      <w:r>
        <w:t>Small – maximum demand less than 20 kW;</w:t>
      </w:r>
    </w:p>
    <w:p w14:paraId="67159FA4" w14:textId="77777777" w:rsidR="003E718A" w:rsidRDefault="003E718A" w:rsidP="003E718A">
      <w:pPr>
        <w:numPr>
          <w:ilvl w:val="0"/>
          <w:numId w:val="5"/>
        </w:numPr>
        <w:tabs>
          <w:tab w:val="clear" w:pos="720"/>
          <w:tab w:val="num" w:pos="-360"/>
        </w:tabs>
      </w:pPr>
      <w:r>
        <w:t>Medium – maximum demand between 20 and 200 kW;</w:t>
      </w:r>
    </w:p>
    <w:p w14:paraId="439A447F" w14:textId="77777777" w:rsidR="003E718A" w:rsidRDefault="003E718A" w:rsidP="003E718A">
      <w:pPr>
        <w:numPr>
          <w:ilvl w:val="0"/>
          <w:numId w:val="5"/>
        </w:numPr>
        <w:tabs>
          <w:tab w:val="clear" w:pos="720"/>
          <w:tab w:val="num" w:pos="-360"/>
        </w:tabs>
      </w:pPr>
      <w:r>
        <w:t>Large – maximum demand greater than 200 kW.</w:t>
      </w:r>
    </w:p>
    <w:p w14:paraId="1042A7E3" w14:textId="77777777" w:rsidR="003E718A" w:rsidRDefault="003E718A" w:rsidP="003E718A"/>
    <w:p w14:paraId="682F6A95" w14:textId="77777777" w:rsidR="003E718A" w:rsidRDefault="003E718A" w:rsidP="003E718A">
      <w:r>
        <w:lastRenderedPageBreak/>
        <w:t xml:space="preserve">The total number of customer “cells” developed is therefore equal to 24 (= 3 size groups x 8 LCAs).  </w:t>
      </w:r>
    </w:p>
    <w:p w14:paraId="7E18BC07" w14:textId="77777777" w:rsidR="003E718A" w:rsidRDefault="003E718A" w:rsidP="003E718A"/>
    <w:p w14:paraId="15F259F2" w14:textId="6C65DBAF" w:rsidR="003E718A" w:rsidRDefault="003E718A" w:rsidP="003E718A">
      <w:r w:rsidRPr="00BC753F">
        <w:t xml:space="preserve">For SCE, </w:t>
      </w:r>
      <w:r w:rsidR="00600B12" w:rsidRPr="00BC753F">
        <w:t>customers are grouped in three ways separately. They are assigned to one of three LCAs and, separately, one of three locations (South Orange County, South of Lugo, and elsewhere). They are also categorized by participation option (15 minutes notice or 30 minutes notice).</w:t>
      </w:r>
    </w:p>
    <w:p w14:paraId="0D716711" w14:textId="77777777" w:rsidR="003E718A" w:rsidRDefault="003E718A" w:rsidP="003E718A"/>
    <w:p w14:paraId="528BBBF6" w14:textId="4AAB0824" w:rsidR="003E718A" w:rsidRDefault="003E718A" w:rsidP="003E718A">
      <w:r>
        <w:t xml:space="preserve">For SDG&amp;E, we assume that the currently enrolled customers continue to participate in BIP, so we do not need to develop customer groups. </w:t>
      </w:r>
    </w:p>
    <w:p w14:paraId="55B69C77" w14:textId="77777777" w:rsidR="003E718A" w:rsidRPr="00D5415E" w:rsidRDefault="003E718A" w:rsidP="003E718A">
      <w:pPr>
        <w:pStyle w:val="Heading3"/>
        <w:rPr>
          <w:sz w:val="22"/>
          <w:szCs w:val="22"/>
        </w:rPr>
      </w:pPr>
      <w:bookmarkStart w:id="118" w:name="_Toc227658381"/>
      <w:bookmarkStart w:id="119" w:name="_Toc252887014"/>
      <w:bookmarkStart w:id="120" w:name="_Toc257708626"/>
      <w:bookmarkStart w:id="121" w:name="_Toc289180093"/>
      <w:bookmarkStart w:id="122" w:name="_Toc326224656"/>
      <w:bookmarkStart w:id="123" w:name="_Toc411324211"/>
      <w:bookmarkStart w:id="124" w:name="_Toc415488968"/>
      <w:r>
        <w:rPr>
          <w:sz w:val="22"/>
          <w:szCs w:val="22"/>
        </w:rPr>
        <w:t>5.</w:t>
      </w:r>
      <w:r w:rsidRPr="00D5415E">
        <w:rPr>
          <w:sz w:val="22"/>
          <w:szCs w:val="22"/>
        </w:rPr>
        <w:t>2.</w:t>
      </w:r>
      <w:r>
        <w:rPr>
          <w:sz w:val="22"/>
          <w:szCs w:val="22"/>
        </w:rPr>
        <w:t>2</w:t>
      </w:r>
      <w:r w:rsidRPr="00D5415E">
        <w:rPr>
          <w:sz w:val="22"/>
          <w:szCs w:val="22"/>
        </w:rPr>
        <w:t xml:space="preserve"> Development of </w:t>
      </w:r>
      <w:r>
        <w:rPr>
          <w:sz w:val="22"/>
          <w:szCs w:val="22"/>
        </w:rPr>
        <w:t>Reference Loads and Load Impacts</w:t>
      </w:r>
      <w:bookmarkEnd w:id="118"/>
      <w:bookmarkEnd w:id="119"/>
      <w:bookmarkEnd w:id="120"/>
      <w:bookmarkEnd w:id="121"/>
      <w:bookmarkEnd w:id="122"/>
      <w:bookmarkEnd w:id="123"/>
      <w:bookmarkEnd w:id="124"/>
    </w:p>
    <w:p w14:paraId="599D61BD" w14:textId="77777777" w:rsidR="003E718A" w:rsidRDefault="003E718A" w:rsidP="003E718A">
      <w:r>
        <w:t>Reference loads and load impacts for all of the above factors were developed in the following series of steps:</w:t>
      </w:r>
    </w:p>
    <w:p w14:paraId="05BB67B4" w14:textId="77777777" w:rsidR="003E718A" w:rsidRDefault="003E718A" w:rsidP="003E718A"/>
    <w:p w14:paraId="01862848" w14:textId="77777777" w:rsidR="003E718A" w:rsidRDefault="003E718A" w:rsidP="003E718A">
      <w:pPr>
        <w:numPr>
          <w:ilvl w:val="0"/>
          <w:numId w:val="6"/>
        </w:numPr>
      </w:pPr>
      <w:r>
        <w:t>Define data sources;</w:t>
      </w:r>
    </w:p>
    <w:p w14:paraId="12C3F500" w14:textId="77777777" w:rsidR="003E718A" w:rsidRDefault="003E718A" w:rsidP="003E718A">
      <w:pPr>
        <w:numPr>
          <w:ilvl w:val="0"/>
          <w:numId w:val="6"/>
        </w:numPr>
      </w:pPr>
      <w:r>
        <w:t>Estimate ex ante regressions and simulate reference loads by service account and scenario;</w:t>
      </w:r>
    </w:p>
    <w:p w14:paraId="029AC63D" w14:textId="5D7F15AC" w:rsidR="003E718A" w:rsidRDefault="003E718A" w:rsidP="003E718A">
      <w:pPr>
        <w:numPr>
          <w:ilvl w:val="0"/>
          <w:numId w:val="6"/>
        </w:numPr>
      </w:pPr>
      <w:r>
        <w:t>Calculate historical FSL achievement rates from ex post results;</w:t>
      </w:r>
    </w:p>
    <w:p w14:paraId="06B3CAD9" w14:textId="5DDC5351" w:rsidR="003E718A" w:rsidRDefault="003E718A" w:rsidP="003E718A">
      <w:pPr>
        <w:numPr>
          <w:ilvl w:val="0"/>
          <w:numId w:val="6"/>
        </w:numPr>
      </w:pPr>
      <w:r>
        <w:t>Apply achievement rates to the reference loads; and</w:t>
      </w:r>
    </w:p>
    <w:p w14:paraId="3A7996E7" w14:textId="77777777" w:rsidR="003E718A" w:rsidRDefault="003E718A" w:rsidP="003E718A">
      <w:pPr>
        <w:numPr>
          <w:ilvl w:val="0"/>
          <w:numId w:val="6"/>
        </w:numPr>
      </w:pPr>
      <w:r>
        <w:t>Scale the reference loads using enrollment forecasts.</w:t>
      </w:r>
    </w:p>
    <w:p w14:paraId="659EE73F" w14:textId="77777777" w:rsidR="003E718A" w:rsidRDefault="003E718A" w:rsidP="003E718A"/>
    <w:p w14:paraId="1C1A5233" w14:textId="77777777" w:rsidR="003E718A" w:rsidRDefault="003E718A" w:rsidP="003E718A">
      <w:r>
        <w:t>Each of these steps is described below.</w:t>
      </w:r>
    </w:p>
    <w:p w14:paraId="38D04119" w14:textId="77777777" w:rsidR="003E718A" w:rsidRDefault="003E718A" w:rsidP="003E718A"/>
    <w:p w14:paraId="285E3C5E" w14:textId="77777777" w:rsidR="003E718A" w:rsidRDefault="003E718A" w:rsidP="003E718A">
      <w:pPr>
        <w:numPr>
          <w:ilvl w:val="0"/>
          <w:numId w:val="11"/>
        </w:numPr>
      </w:pPr>
      <w:r w:rsidRPr="00A9474C">
        <w:rPr>
          <w:i/>
        </w:rPr>
        <w:t xml:space="preserve">Define </w:t>
      </w:r>
      <w:r>
        <w:rPr>
          <w:i/>
        </w:rPr>
        <w:t>data sources</w:t>
      </w:r>
      <w:r>
        <w:t xml:space="preserve">  </w:t>
      </w:r>
    </w:p>
    <w:p w14:paraId="423EA549" w14:textId="285B6D76" w:rsidR="003E718A" w:rsidRPr="00834007" w:rsidRDefault="003E718A" w:rsidP="00191975">
      <w:pPr>
        <w:tabs>
          <w:tab w:val="left" w:pos="4140"/>
        </w:tabs>
        <w:rPr>
          <w:b/>
        </w:rPr>
      </w:pPr>
      <w:r>
        <w:t xml:space="preserve">The reference loads are developed using data for customers enrolled in BIP during the 2014 program year. The load impacts are developed using the historical FSL achievement rates based on the estimated ex post load impacts for the same customers. </w:t>
      </w:r>
    </w:p>
    <w:p w14:paraId="7857B1C4" w14:textId="77777777" w:rsidR="003E718A" w:rsidRDefault="003E718A" w:rsidP="003E718A">
      <w:pPr>
        <w:tabs>
          <w:tab w:val="left" w:pos="4140"/>
        </w:tabs>
      </w:pPr>
    </w:p>
    <w:p w14:paraId="574B9AA5" w14:textId="1B424E97" w:rsidR="003E718A" w:rsidRDefault="003E718A" w:rsidP="003E718A">
      <w:pPr>
        <w:tabs>
          <w:tab w:val="left" w:pos="4140"/>
        </w:tabs>
      </w:pPr>
      <w:r>
        <w:t xml:space="preserve">For each service account, we determine the appropriate size group and LCA. Although BIP customers may be dually enrolled in some other DR programs, the BIP obligation takes precedence on event days, so </w:t>
      </w:r>
      <w:r w:rsidRPr="00277675">
        <w:rPr>
          <w:i/>
        </w:rPr>
        <w:t>program-specific</w:t>
      </w:r>
      <w:r>
        <w:t xml:space="preserve"> scenarios (in which each DR program is assumed to be called in isolation) are identical to </w:t>
      </w:r>
      <w:r w:rsidRPr="00277675">
        <w:rPr>
          <w:i/>
        </w:rPr>
        <w:t>portfolio-level</w:t>
      </w:r>
      <w:r>
        <w:t xml:space="preserve"> scenarios (in which all DR programs are assumed to have been called) for this program. </w:t>
      </w:r>
    </w:p>
    <w:p w14:paraId="0A78A242" w14:textId="77777777" w:rsidR="003E718A" w:rsidRDefault="003E718A" w:rsidP="003E718A">
      <w:pPr>
        <w:tabs>
          <w:tab w:val="left" w:pos="4140"/>
        </w:tabs>
      </w:pPr>
    </w:p>
    <w:p w14:paraId="50F56A2F" w14:textId="77777777" w:rsidR="003E718A" w:rsidRDefault="003E718A" w:rsidP="003E718A">
      <w:pPr>
        <w:numPr>
          <w:ilvl w:val="0"/>
          <w:numId w:val="11"/>
        </w:numPr>
      </w:pPr>
      <w:r>
        <w:rPr>
          <w:i/>
        </w:rPr>
        <w:t xml:space="preserve">Simulate reference </w:t>
      </w:r>
      <w:r w:rsidRPr="00AA5190">
        <w:rPr>
          <w:i/>
        </w:rPr>
        <w:t>load</w:t>
      </w:r>
      <w:r>
        <w:rPr>
          <w:i/>
        </w:rPr>
        <w:t>s</w:t>
      </w:r>
      <w:r>
        <w:t xml:space="preserve">  </w:t>
      </w:r>
    </w:p>
    <w:p w14:paraId="71F76D5B" w14:textId="16D2EE54" w:rsidR="003E718A" w:rsidRDefault="003E718A" w:rsidP="003E718A">
      <w:r>
        <w:t xml:space="preserve">In order to develop reference loads, we first re-estimated regression equations for each </w:t>
      </w:r>
      <w:r w:rsidRPr="00B116E3">
        <w:t>enrolled</w:t>
      </w:r>
      <w:r>
        <w:t xml:space="preserve"> customer account using data for the current program year. The resulting estimates were used to simulate reference loads for each service account under the various scenarios required by the Protocols (</w:t>
      </w:r>
      <w:r w:rsidRPr="004D7BCF">
        <w:rPr>
          <w:i/>
        </w:rPr>
        <w:t>e.g.</w:t>
      </w:r>
      <w:r>
        <w:t xml:space="preserve">, the typical event day in a </w:t>
      </w:r>
      <w:r w:rsidR="004061BB">
        <w:t xml:space="preserve">utility-specific </w:t>
      </w:r>
      <w:r>
        <w:t xml:space="preserve">1-in-2 weather year).   </w:t>
      </w:r>
    </w:p>
    <w:p w14:paraId="3C2B258F" w14:textId="77777777" w:rsidR="003E718A" w:rsidRDefault="003E718A" w:rsidP="003E718A"/>
    <w:p w14:paraId="5E4CAF32" w14:textId="2F60AC33" w:rsidR="003E718A" w:rsidRPr="003C262F" w:rsidRDefault="003E718A" w:rsidP="003E718A">
      <w:r w:rsidRPr="002177EE">
        <w:lastRenderedPageBreak/>
        <w:t xml:space="preserve">For the summer months, the re-estimated regression equations were similar in design to the ex post load impact equations described in Section 3.2, </w:t>
      </w:r>
      <w:r w:rsidRPr="00CC5A6A">
        <w:t>differing in two ways.</w:t>
      </w:r>
      <w:r w:rsidRPr="002177EE">
        <w:t xml:space="preserve"> First, the ex ante models excluded the morning-usage variable</w:t>
      </w:r>
      <w:r>
        <w:t>s. While these</w:t>
      </w:r>
      <w:r w:rsidRPr="002177EE">
        <w:t xml:space="preserve"> variable</w:t>
      </w:r>
      <w:r>
        <w:t>s are</w:t>
      </w:r>
      <w:r w:rsidRPr="002177EE">
        <w:t xml:space="preserve"> useful for improving accuracy in estimating ex post load impacts for particular events, </w:t>
      </w:r>
      <w:r>
        <w:t xml:space="preserve">they </w:t>
      </w:r>
      <w:r w:rsidRPr="002177EE">
        <w:t xml:space="preserve">complicate the use of the equations in ex ante simulation. That is, </w:t>
      </w:r>
      <w:r>
        <w:t xml:space="preserve">they </w:t>
      </w:r>
      <w:r w:rsidRPr="002177EE">
        <w:t xml:space="preserve">would require a separate simulation of the level of the morning </w:t>
      </w:r>
      <w:r w:rsidRPr="00277675">
        <w:t xml:space="preserve">load. The second difference </w:t>
      </w:r>
      <w:r w:rsidRPr="003C262F">
        <w:t xml:space="preserve">between the ex post and ex ante models is that the ex ante models </w:t>
      </w:r>
      <w:r w:rsidR="00BC753F">
        <w:t xml:space="preserve">do not </w:t>
      </w:r>
      <w:r w:rsidRPr="003C262F">
        <w:t>use</w:t>
      </w:r>
      <w:r w:rsidR="00BC753F">
        <w:t xml:space="preserve"> weather variables using information from prior days.</w:t>
      </w:r>
      <w:r w:rsidR="00BC753F">
        <w:rPr>
          <w:rStyle w:val="FootnoteReference"/>
        </w:rPr>
        <w:footnoteReference w:id="10"/>
      </w:r>
      <w:r w:rsidR="00BC753F">
        <w:t xml:space="preserve"> </w:t>
      </w:r>
      <w:r>
        <w:t>The primary reason for this is that the ex ante weather days were not selected based on weather from the prior day, restricting the use of lagged weather variables to construct the ex ante scenarios.</w:t>
      </w:r>
    </w:p>
    <w:p w14:paraId="3EE9FF9C" w14:textId="77777777" w:rsidR="003E718A" w:rsidRDefault="003E718A" w:rsidP="003E718A"/>
    <w:p w14:paraId="31FFD379" w14:textId="064755F8" w:rsidR="003E718A" w:rsidRDefault="003E718A" w:rsidP="003E718A">
      <w:r w:rsidRPr="00770A8C">
        <w:t>Because B</w:t>
      </w:r>
      <w:r w:rsidR="004061BB">
        <w:t>I</w:t>
      </w:r>
      <w:r w:rsidRPr="00770A8C">
        <w:t>P events may be called in any month of the year, we estimated separate regression models to allow us to simulate non-summer reference loads. The non-summer model is shown below. This model is estimated separately from the summer ex ante model. It only differs from the summer model in t</w:t>
      </w:r>
      <w:r w:rsidR="004061BB">
        <w:t>wo</w:t>
      </w:r>
      <w:r w:rsidRPr="00770A8C">
        <w:t xml:space="preserve"> ways: it includes </w:t>
      </w:r>
      <w:r w:rsidR="00BC753F" w:rsidRPr="00BC753F">
        <w:t>different weather variables</w:t>
      </w:r>
      <w:r w:rsidRPr="00770A8C">
        <w:t xml:space="preserve">; </w:t>
      </w:r>
      <w:r w:rsidR="004061BB">
        <w:t xml:space="preserve">and </w:t>
      </w:r>
      <w:r w:rsidRPr="00770A8C">
        <w:t xml:space="preserve">the month dummies relate to a </w:t>
      </w:r>
      <w:r w:rsidR="00C854D9">
        <w:t>different set of months. Table 5</w:t>
      </w:r>
      <w:r w:rsidRPr="00770A8C">
        <w:t>.</w:t>
      </w:r>
      <w:r>
        <w:t>1</w:t>
      </w:r>
      <w:r w:rsidRPr="00770A8C">
        <w:t xml:space="preserve"> describes the terms included in the equation.</w:t>
      </w:r>
    </w:p>
    <w:p w14:paraId="3978324B" w14:textId="77777777" w:rsidR="004061BB" w:rsidRDefault="004061BB" w:rsidP="003E718A"/>
    <w:p w14:paraId="1924C262" w14:textId="77777777" w:rsidR="003E718A" w:rsidRDefault="00C854D9" w:rsidP="003E718A">
      <w:r w:rsidRPr="004061BB">
        <w:rPr>
          <w:position w:val="-136"/>
        </w:rPr>
        <w:object w:dxaOrig="6820" w:dyaOrig="2840" w14:anchorId="522AEE6E">
          <v:shape id="_x0000_i1026" type="#_x0000_t75" style="width:342pt;height:2in" o:ole="">
            <v:imagedata r:id="rId25" o:title=""/>
          </v:shape>
          <o:OLEObject Type="Embed" ProgID="Equation.3" ShapeID="_x0000_i1026" DrawAspect="Content" ObjectID="_1489233951" r:id="rId26"/>
        </w:object>
      </w:r>
    </w:p>
    <w:p w14:paraId="3241EBFD" w14:textId="77777777" w:rsidR="003E718A" w:rsidRDefault="003E718A" w:rsidP="003E718A"/>
    <w:p w14:paraId="26072034" w14:textId="77777777" w:rsidR="003E718A" w:rsidRPr="00852320" w:rsidRDefault="003E718A" w:rsidP="003E718A">
      <w:pPr>
        <w:pStyle w:val="TableCaption"/>
        <w:keepNext/>
        <w:keepLines/>
      </w:pPr>
      <w:bookmarkStart w:id="125" w:name="_Toc326224700"/>
      <w:bookmarkStart w:id="126" w:name="_Toc411324262"/>
      <w:bookmarkStart w:id="127" w:name="_Toc415489021"/>
      <w:r w:rsidRPr="00852320">
        <w:lastRenderedPageBreak/>
        <w:t xml:space="preserve">Table </w:t>
      </w:r>
      <w:r>
        <w:t>5</w:t>
      </w:r>
      <w:r w:rsidRPr="00852320">
        <w:t>.</w:t>
      </w:r>
      <w:r>
        <w:t>1</w:t>
      </w:r>
      <w:r w:rsidRPr="00852320">
        <w:t>: Descriptions of Terms included in the Ex Ante Regression Equation</w:t>
      </w:r>
      <w:bookmarkEnd w:id="125"/>
      <w:bookmarkEnd w:id="126"/>
      <w:bookmarkEnd w:id="1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3"/>
        <w:gridCol w:w="7343"/>
      </w:tblGrid>
      <w:tr w:rsidR="003E718A" w14:paraId="5B944288" w14:textId="77777777" w:rsidTr="004061BB">
        <w:trPr>
          <w:jc w:val="center"/>
        </w:trPr>
        <w:tc>
          <w:tcPr>
            <w:tcW w:w="0" w:type="auto"/>
            <w:shd w:val="clear" w:color="auto" w:fill="D9E2F3"/>
            <w:vAlign w:val="center"/>
          </w:tcPr>
          <w:p w14:paraId="7A6B35D1" w14:textId="77777777" w:rsidR="003E718A" w:rsidRPr="00AA745A" w:rsidRDefault="003E718A" w:rsidP="004061BB">
            <w:pPr>
              <w:keepNext/>
              <w:keepLines/>
              <w:jc w:val="center"/>
              <w:rPr>
                <w:rFonts w:ascii="Arial" w:hAnsi="Arial" w:cs="Arial"/>
                <w:b/>
                <w:sz w:val="20"/>
                <w:szCs w:val="20"/>
              </w:rPr>
            </w:pPr>
            <w:r w:rsidRPr="00AA745A">
              <w:rPr>
                <w:rFonts w:ascii="Arial" w:hAnsi="Arial" w:cs="Arial"/>
                <w:b/>
                <w:sz w:val="20"/>
                <w:szCs w:val="20"/>
              </w:rPr>
              <w:t>Variable Name</w:t>
            </w:r>
          </w:p>
        </w:tc>
        <w:tc>
          <w:tcPr>
            <w:tcW w:w="0" w:type="auto"/>
            <w:shd w:val="clear" w:color="auto" w:fill="D9E2F3"/>
            <w:vAlign w:val="center"/>
          </w:tcPr>
          <w:p w14:paraId="7DFC8556" w14:textId="77777777" w:rsidR="003E718A" w:rsidRPr="00AA745A" w:rsidRDefault="003E718A" w:rsidP="004061BB">
            <w:pPr>
              <w:keepNext/>
              <w:keepLines/>
              <w:jc w:val="center"/>
              <w:rPr>
                <w:rFonts w:ascii="Arial" w:hAnsi="Arial" w:cs="Arial"/>
                <w:b/>
                <w:sz w:val="20"/>
                <w:szCs w:val="20"/>
              </w:rPr>
            </w:pPr>
            <w:r w:rsidRPr="00AA745A">
              <w:rPr>
                <w:rFonts w:ascii="Arial" w:hAnsi="Arial" w:cs="Arial"/>
                <w:b/>
                <w:sz w:val="20"/>
                <w:szCs w:val="20"/>
              </w:rPr>
              <w:t>Variable Description</w:t>
            </w:r>
          </w:p>
        </w:tc>
      </w:tr>
      <w:tr w:rsidR="003E718A" w14:paraId="5552A1D6" w14:textId="77777777" w:rsidTr="004061BB">
        <w:trPr>
          <w:jc w:val="center"/>
        </w:trPr>
        <w:tc>
          <w:tcPr>
            <w:tcW w:w="0" w:type="auto"/>
            <w:shd w:val="clear" w:color="auto" w:fill="auto"/>
            <w:vAlign w:val="center"/>
          </w:tcPr>
          <w:p w14:paraId="61C932D9" w14:textId="77777777" w:rsidR="003E718A" w:rsidRPr="00AA745A" w:rsidRDefault="003E718A" w:rsidP="004061BB">
            <w:pPr>
              <w:keepNext/>
              <w:keepLines/>
              <w:jc w:val="center"/>
              <w:rPr>
                <w:rFonts w:ascii="Arial" w:hAnsi="Arial" w:cs="Arial"/>
                <w:sz w:val="20"/>
                <w:szCs w:val="20"/>
              </w:rPr>
            </w:pPr>
            <w:r w:rsidRPr="00AA745A">
              <w:rPr>
                <w:rFonts w:ascii="Arial" w:hAnsi="Arial" w:cs="Arial"/>
                <w:i/>
                <w:sz w:val="20"/>
                <w:szCs w:val="20"/>
              </w:rPr>
              <w:t>Q</w:t>
            </w:r>
            <w:r w:rsidRPr="00AA745A">
              <w:rPr>
                <w:rFonts w:ascii="Arial" w:hAnsi="Arial" w:cs="Arial"/>
                <w:i/>
                <w:sz w:val="20"/>
                <w:szCs w:val="20"/>
                <w:vertAlign w:val="subscript"/>
              </w:rPr>
              <w:t>t</w:t>
            </w:r>
          </w:p>
        </w:tc>
        <w:tc>
          <w:tcPr>
            <w:tcW w:w="0" w:type="auto"/>
            <w:shd w:val="clear" w:color="auto" w:fill="auto"/>
            <w:vAlign w:val="center"/>
          </w:tcPr>
          <w:p w14:paraId="7EB087B2" w14:textId="36064210" w:rsidR="003E718A" w:rsidRPr="00AA745A" w:rsidRDefault="003E718A" w:rsidP="009271C4">
            <w:pPr>
              <w:keepNext/>
              <w:keepLines/>
              <w:rPr>
                <w:rFonts w:ascii="Arial" w:hAnsi="Arial" w:cs="Arial"/>
                <w:sz w:val="20"/>
                <w:szCs w:val="20"/>
              </w:rPr>
            </w:pPr>
            <w:r w:rsidRPr="00AA745A">
              <w:rPr>
                <w:rFonts w:ascii="Arial" w:hAnsi="Arial" w:cs="Arial"/>
                <w:sz w:val="20"/>
                <w:szCs w:val="20"/>
              </w:rPr>
              <w:t xml:space="preserve">the demand in hour </w:t>
            </w:r>
            <w:r w:rsidRPr="00AA745A">
              <w:rPr>
                <w:rFonts w:ascii="Arial" w:hAnsi="Arial" w:cs="Arial"/>
                <w:i/>
                <w:sz w:val="20"/>
                <w:szCs w:val="20"/>
              </w:rPr>
              <w:t>t</w:t>
            </w:r>
            <w:r w:rsidRPr="00AA745A">
              <w:rPr>
                <w:rFonts w:ascii="Arial" w:hAnsi="Arial" w:cs="Arial"/>
                <w:sz w:val="20"/>
                <w:szCs w:val="20"/>
              </w:rPr>
              <w:t xml:space="preserve"> for a customer enrolled in B</w:t>
            </w:r>
            <w:r w:rsidR="009271C4">
              <w:rPr>
                <w:rFonts w:ascii="Arial" w:hAnsi="Arial" w:cs="Arial"/>
                <w:sz w:val="20"/>
                <w:szCs w:val="20"/>
              </w:rPr>
              <w:t>I</w:t>
            </w:r>
            <w:r w:rsidRPr="00AA745A">
              <w:rPr>
                <w:rFonts w:ascii="Arial" w:hAnsi="Arial" w:cs="Arial"/>
                <w:sz w:val="20"/>
                <w:szCs w:val="20"/>
              </w:rPr>
              <w:t>P prior to the last event date</w:t>
            </w:r>
          </w:p>
        </w:tc>
      </w:tr>
      <w:tr w:rsidR="003E718A" w14:paraId="390C9137" w14:textId="77777777" w:rsidTr="004061BB">
        <w:trPr>
          <w:jc w:val="center"/>
        </w:trPr>
        <w:tc>
          <w:tcPr>
            <w:tcW w:w="0" w:type="auto"/>
            <w:shd w:val="clear" w:color="auto" w:fill="auto"/>
            <w:vAlign w:val="center"/>
          </w:tcPr>
          <w:p w14:paraId="5E17776A" w14:textId="77777777" w:rsidR="003E718A" w:rsidRPr="00AA745A" w:rsidRDefault="003E718A" w:rsidP="004061BB">
            <w:pPr>
              <w:keepNext/>
              <w:keepLines/>
              <w:jc w:val="center"/>
              <w:rPr>
                <w:rFonts w:ascii="Arial" w:hAnsi="Arial" w:cs="Arial"/>
                <w:sz w:val="20"/>
                <w:szCs w:val="20"/>
              </w:rPr>
            </w:pPr>
            <w:r w:rsidRPr="00AA745A">
              <w:rPr>
                <w:rFonts w:ascii="Arial" w:hAnsi="Arial" w:cs="Arial"/>
                <w:sz w:val="20"/>
                <w:szCs w:val="20"/>
              </w:rPr>
              <w:t xml:space="preserve">The various </w:t>
            </w:r>
            <w:r w:rsidRPr="00AA745A">
              <w:rPr>
                <w:rFonts w:ascii="Arial" w:hAnsi="Arial" w:cs="Arial"/>
                <w:i/>
                <w:sz w:val="20"/>
                <w:szCs w:val="20"/>
              </w:rPr>
              <w:t>b</w:t>
            </w:r>
            <w:r w:rsidRPr="00AA745A">
              <w:rPr>
                <w:rFonts w:ascii="Arial" w:hAnsi="Arial" w:cs="Arial"/>
                <w:sz w:val="20"/>
                <w:szCs w:val="20"/>
              </w:rPr>
              <w:t xml:space="preserve">’s </w:t>
            </w:r>
          </w:p>
        </w:tc>
        <w:tc>
          <w:tcPr>
            <w:tcW w:w="0" w:type="auto"/>
            <w:shd w:val="clear" w:color="auto" w:fill="auto"/>
            <w:vAlign w:val="center"/>
          </w:tcPr>
          <w:p w14:paraId="454D1432" w14:textId="77777777" w:rsidR="003E718A" w:rsidRPr="00AA745A" w:rsidRDefault="003E718A" w:rsidP="004061BB">
            <w:pPr>
              <w:keepNext/>
              <w:keepLines/>
              <w:rPr>
                <w:rFonts w:ascii="Arial" w:hAnsi="Arial" w:cs="Arial"/>
                <w:sz w:val="20"/>
                <w:szCs w:val="20"/>
              </w:rPr>
            </w:pPr>
            <w:r w:rsidRPr="00AA745A">
              <w:rPr>
                <w:rFonts w:ascii="Arial" w:hAnsi="Arial" w:cs="Arial"/>
                <w:sz w:val="20"/>
                <w:szCs w:val="20"/>
              </w:rPr>
              <w:t>the estimated parameters</w:t>
            </w:r>
          </w:p>
        </w:tc>
      </w:tr>
      <w:tr w:rsidR="003E718A" w14:paraId="1332F26D" w14:textId="77777777" w:rsidTr="004061BB">
        <w:trPr>
          <w:jc w:val="center"/>
        </w:trPr>
        <w:tc>
          <w:tcPr>
            <w:tcW w:w="0" w:type="auto"/>
            <w:shd w:val="clear" w:color="auto" w:fill="auto"/>
            <w:vAlign w:val="center"/>
          </w:tcPr>
          <w:p w14:paraId="322BB6A9" w14:textId="77777777" w:rsidR="003E718A" w:rsidRPr="00AA745A" w:rsidRDefault="003E718A" w:rsidP="004061BB">
            <w:pPr>
              <w:keepNext/>
              <w:keepLines/>
              <w:jc w:val="center"/>
              <w:rPr>
                <w:rFonts w:ascii="Arial" w:hAnsi="Arial" w:cs="Arial"/>
                <w:sz w:val="20"/>
                <w:szCs w:val="20"/>
              </w:rPr>
            </w:pPr>
            <w:r w:rsidRPr="00AA745A">
              <w:rPr>
                <w:rFonts w:ascii="Arial" w:hAnsi="Arial" w:cs="Arial"/>
                <w:i/>
                <w:sz w:val="20"/>
                <w:szCs w:val="20"/>
              </w:rPr>
              <w:t>h</w:t>
            </w:r>
            <w:r w:rsidRPr="00AA745A">
              <w:rPr>
                <w:rFonts w:ascii="Arial" w:hAnsi="Arial" w:cs="Arial"/>
                <w:i/>
                <w:sz w:val="20"/>
                <w:szCs w:val="20"/>
                <w:vertAlign w:val="subscript"/>
              </w:rPr>
              <w:t>i,t</w:t>
            </w:r>
          </w:p>
        </w:tc>
        <w:tc>
          <w:tcPr>
            <w:tcW w:w="0" w:type="auto"/>
            <w:shd w:val="clear" w:color="auto" w:fill="auto"/>
            <w:vAlign w:val="center"/>
          </w:tcPr>
          <w:p w14:paraId="520B3667" w14:textId="77777777" w:rsidR="003E718A" w:rsidRPr="00AA745A" w:rsidRDefault="003E718A" w:rsidP="004061BB">
            <w:pPr>
              <w:keepNext/>
              <w:keepLines/>
              <w:rPr>
                <w:rFonts w:ascii="Arial" w:hAnsi="Arial" w:cs="Arial"/>
                <w:sz w:val="20"/>
                <w:szCs w:val="20"/>
              </w:rPr>
            </w:pPr>
            <w:r w:rsidRPr="00AA745A">
              <w:rPr>
                <w:rFonts w:ascii="Arial" w:hAnsi="Arial" w:cs="Arial"/>
                <w:sz w:val="20"/>
                <w:szCs w:val="20"/>
              </w:rPr>
              <w:t xml:space="preserve">a dummy variable for hour </w:t>
            </w:r>
            <w:r w:rsidRPr="00AA745A">
              <w:rPr>
                <w:rFonts w:ascii="Arial" w:hAnsi="Arial" w:cs="Arial"/>
                <w:i/>
                <w:sz w:val="20"/>
                <w:szCs w:val="20"/>
              </w:rPr>
              <w:t>i</w:t>
            </w:r>
          </w:p>
        </w:tc>
      </w:tr>
      <w:tr w:rsidR="004061BB" w14:paraId="37D97CF2" w14:textId="77777777" w:rsidTr="004061BB">
        <w:trPr>
          <w:jc w:val="center"/>
        </w:trPr>
        <w:tc>
          <w:tcPr>
            <w:tcW w:w="0" w:type="auto"/>
            <w:shd w:val="clear" w:color="auto" w:fill="auto"/>
            <w:vAlign w:val="center"/>
          </w:tcPr>
          <w:p w14:paraId="58DDFDC6" w14:textId="52B29276" w:rsidR="004061BB" w:rsidRPr="00AA745A" w:rsidRDefault="004061BB" w:rsidP="004061BB">
            <w:pPr>
              <w:keepNext/>
              <w:keepLines/>
              <w:jc w:val="center"/>
              <w:rPr>
                <w:rFonts w:ascii="Arial" w:hAnsi="Arial" w:cs="Arial"/>
                <w:i/>
                <w:sz w:val="20"/>
                <w:szCs w:val="20"/>
              </w:rPr>
            </w:pPr>
            <w:r w:rsidRPr="00AA745A">
              <w:rPr>
                <w:rFonts w:ascii="Arial" w:hAnsi="Arial" w:cs="Arial"/>
                <w:i/>
                <w:sz w:val="20"/>
                <w:szCs w:val="20"/>
              </w:rPr>
              <w:t>B</w:t>
            </w:r>
            <w:r>
              <w:rPr>
                <w:rFonts w:ascii="Arial" w:hAnsi="Arial" w:cs="Arial"/>
                <w:i/>
                <w:sz w:val="20"/>
                <w:szCs w:val="20"/>
              </w:rPr>
              <w:t>I</w:t>
            </w:r>
            <w:r w:rsidRPr="00AA745A">
              <w:rPr>
                <w:rFonts w:ascii="Arial" w:hAnsi="Arial" w:cs="Arial"/>
                <w:i/>
                <w:sz w:val="20"/>
                <w:szCs w:val="20"/>
              </w:rPr>
              <w:t>P</w:t>
            </w:r>
            <w:r w:rsidRPr="00AA745A">
              <w:rPr>
                <w:rFonts w:ascii="Arial" w:hAnsi="Arial" w:cs="Arial"/>
                <w:i/>
                <w:sz w:val="20"/>
                <w:szCs w:val="20"/>
                <w:vertAlign w:val="subscript"/>
              </w:rPr>
              <w:t>t</w:t>
            </w:r>
          </w:p>
        </w:tc>
        <w:tc>
          <w:tcPr>
            <w:tcW w:w="0" w:type="auto"/>
            <w:shd w:val="clear" w:color="auto" w:fill="auto"/>
            <w:vAlign w:val="center"/>
          </w:tcPr>
          <w:p w14:paraId="575D7835" w14:textId="2E4E885C" w:rsidR="004061BB" w:rsidRPr="00AA745A" w:rsidRDefault="004061BB" w:rsidP="004061BB">
            <w:pPr>
              <w:keepNext/>
              <w:keepLines/>
              <w:rPr>
                <w:rFonts w:ascii="Arial" w:hAnsi="Arial" w:cs="Arial"/>
                <w:sz w:val="20"/>
                <w:szCs w:val="20"/>
              </w:rPr>
            </w:pPr>
            <w:r w:rsidRPr="00AA745A">
              <w:rPr>
                <w:rFonts w:ascii="Arial" w:hAnsi="Arial" w:cs="Arial"/>
                <w:sz w:val="20"/>
                <w:szCs w:val="20"/>
              </w:rPr>
              <w:t>an indicator variable for program event days</w:t>
            </w:r>
          </w:p>
        </w:tc>
      </w:tr>
      <w:tr w:rsidR="004061BB" w14:paraId="0F7582EE" w14:textId="77777777" w:rsidTr="004061BB">
        <w:trPr>
          <w:jc w:val="center"/>
        </w:trPr>
        <w:tc>
          <w:tcPr>
            <w:tcW w:w="0" w:type="auto"/>
            <w:shd w:val="clear" w:color="auto" w:fill="auto"/>
            <w:vAlign w:val="center"/>
          </w:tcPr>
          <w:p w14:paraId="2969236F" w14:textId="12318D10" w:rsidR="004061BB" w:rsidRPr="00AA745A" w:rsidRDefault="004061BB" w:rsidP="004061BB">
            <w:pPr>
              <w:keepNext/>
              <w:keepLines/>
              <w:jc w:val="center"/>
              <w:rPr>
                <w:rFonts w:ascii="Arial" w:hAnsi="Arial" w:cs="Arial"/>
                <w:i/>
                <w:sz w:val="20"/>
                <w:szCs w:val="20"/>
              </w:rPr>
            </w:pPr>
            <w:r w:rsidRPr="00AA745A">
              <w:rPr>
                <w:rFonts w:ascii="Arial" w:hAnsi="Arial" w:cs="Arial"/>
                <w:i/>
                <w:sz w:val="20"/>
                <w:szCs w:val="20"/>
              </w:rPr>
              <w:t>OtherEvt</w:t>
            </w:r>
            <w:r w:rsidRPr="00EB0348">
              <w:rPr>
                <w:rFonts w:ascii="Arial" w:hAnsi="Arial" w:cs="Arial"/>
                <w:i/>
                <w:sz w:val="20"/>
                <w:szCs w:val="20"/>
                <w:vertAlign w:val="superscript"/>
              </w:rPr>
              <w:t>DR</w:t>
            </w:r>
            <w:r w:rsidRPr="00AA745A">
              <w:rPr>
                <w:rFonts w:ascii="Arial" w:hAnsi="Arial" w:cs="Arial"/>
                <w:i/>
                <w:sz w:val="20"/>
                <w:szCs w:val="20"/>
                <w:vertAlign w:val="subscript"/>
              </w:rPr>
              <w:t>t</w:t>
            </w:r>
          </w:p>
        </w:tc>
        <w:tc>
          <w:tcPr>
            <w:tcW w:w="0" w:type="auto"/>
            <w:shd w:val="clear" w:color="auto" w:fill="auto"/>
            <w:vAlign w:val="center"/>
          </w:tcPr>
          <w:p w14:paraId="418110FD" w14:textId="11FD500B" w:rsidR="004061BB" w:rsidRPr="00AA745A" w:rsidRDefault="004061BB" w:rsidP="004061BB">
            <w:pPr>
              <w:keepNext/>
              <w:keepLines/>
              <w:rPr>
                <w:rFonts w:ascii="Arial" w:hAnsi="Arial" w:cs="Arial"/>
                <w:sz w:val="20"/>
                <w:szCs w:val="20"/>
              </w:rPr>
            </w:pPr>
            <w:r w:rsidRPr="00AA745A">
              <w:rPr>
                <w:rFonts w:ascii="Arial" w:hAnsi="Arial" w:cs="Arial"/>
                <w:sz w:val="20"/>
                <w:szCs w:val="20"/>
              </w:rPr>
              <w:t xml:space="preserve">equals one on the event days of other demand response programs in which the customer is enrolled </w:t>
            </w:r>
          </w:p>
        </w:tc>
      </w:tr>
      <w:tr w:rsidR="003E718A" w14:paraId="19A7FE1B" w14:textId="77777777" w:rsidTr="004061BB">
        <w:trPr>
          <w:jc w:val="center"/>
        </w:trPr>
        <w:tc>
          <w:tcPr>
            <w:tcW w:w="0" w:type="auto"/>
            <w:shd w:val="clear" w:color="auto" w:fill="auto"/>
            <w:vAlign w:val="center"/>
          </w:tcPr>
          <w:p w14:paraId="248AED61" w14:textId="260FD35E" w:rsidR="003E718A" w:rsidRPr="00AA745A" w:rsidRDefault="00C854D9" w:rsidP="004061BB">
            <w:pPr>
              <w:keepNext/>
              <w:keepLines/>
              <w:jc w:val="center"/>
              <w:rPr>
                <w:rFonts w:ascii="Arial" w:hAnsi="Arial" w:cs="Arial"/>
                <w:sz w:val="20"/>
                <w:szCs w:val="20"/>
              </w:rPr>
            </w:pPr>
            <w:r>
              <w:rPr>
                <w:rFonts w:ascii="Arial" w:hAnsi="Arial" w:cs="Arial"/>
                <w:i/>
                <w:sz w:val="20"/>
                <w:szCs w:val="20"/>
              </w:rPr>
              <w:t>Weather</w:t>
            </w:r>
            <w:r w:rsidR="003E718A" w:rsidRPr="00AA745A">
              <w:rPr>
                <w:rFonts w:ascii="Arial" w:hAnsi="Arial" w:cs="Arial"/>
                <w:i/>
                <w:sz w:val="20"/>
                <w:szCs w:val="20"/>
                <w:vertAlign w:val="subscript"/>
              </w:rPr>
              <w:t>t</w:t>
            </w:r>
          </w:p>
        </w:tc>
        <w:tc>
          <w:tcPr>
            <w:tcW w:w="0" w:type="auto"/>
            <w:shd w:val="clear" w:color="auto" w:fill="auto"/>
            <w:vAlign w:val="center"/>
          </w:tcPr>
          <w:p w14:paraId="00C17B68" w14:textId="71543F63" w:rsidR="003E718A" w:rsidRPr="00AA745A" w:rsidRDefault="00C854D9" w:rsidP="004061BB">
            <w:pPr>
              <w:keepNext/>
              <w:keepLines/>
              <w:rPr>
                <w:rFonts w:ascii="Arial" w:hAnsi="Arial" w:cs="Arial"/>
                <w:sz w:val="20"/>
                <w:szCs w:val="20"/>
              </w:rPr>
            </w:pPr>
            <w:r w:rsidRPr="00AA745A">
              <w:rPr>
                <w:rFonts w:ascii="Arial" w:hAnsi="Arial" w:cs="Arial"/>
                <w:sz w:val="20"/>
                <w:szCs w:val="20"/>
              </w:rPr>
              <w:t>the weather variables selected using our model screening process</w:t>
            </w:r>
          </w:p>
        </w:tc>
      </w:tr>
      <w:tr w:rsidR="00C854D9" w14:paraId="49C850E4" w14:textId="77777777" w:rsidTr="004061BB">
        <w:trPr>
          <w:jc w:val="center"/>
        </w:trPr>
        <w:tc>
          <w:tcPr>
            <w:tcW w:w="0" w:type="auto"/>
            <w:shd w:val="clear" w:color="auto" w:fill="auto"/>
            <w:vAlign w:val="center"/>
          </w:tcPr>
          <w:p w14:paraId="5CCC0390" w14:textId="5E2EB7D6" w:rsidR="00C854D9" w:rsidRPr="00AA745A" w:rsidRDefault="00C854D9" w:rsidP="004061BB">
            <w:pPr>
              <w:keepNext/>
              <w:keepLines/>
              <w:jc w:val="center"/>
              <w:rPr>
                <w:rFonts w:ascii="Arial" w:hAnsi="Arial" w:cs="Arial"/>
                <w:i/>
                <w:sz w:val="20"/>
                <w:szCs w:val="20"/>
              </w:rPr>
            </w:pPr>
            <w:r w:rsidRPr="00AA745A">
              <w:rPr>
                <w:rFonts w:ascii="Arial" w:hAnsi="Arial" w:cs="Arial"/>
                <w:i/>
                <w:sz w:val="20"/>
                <w:szCs w:val="20"/>
              </w:rPr>
              <w:t>MON</w:t>
            </w:r>
            <w:r w:rsidRPr="00AA745A">
              <w:rPr>
                <w:rFonts w:ascii="Arial" w:hAnsi="Arial" w:cs="Arial"/>
                <w:i/>
                <w:sz w:val="20"/>
                <w:szCs w:val="20"/>
                <w:vertAlign w:val="subscript"/>
              </w:rPr>
              <w:t>t</w:t>
            </w:r>
          </w:p>
        </w:tc>
        <w:tc>
          <w:tcPr>
            <w:tcW w:w="0" w:type="auto"/>
            <w:shd w:val="clear" w:color="auto" w:fill="auto"/>
            <w:vAlign w:val="center"/>
          </w:tcPr>
          <w:p w14:paraId="19B181AC" w14:textId="20249C86" w:rsidR="00C854D9" w:rsidRPr="00AA745A" w:rsidRDefault="00C854D9" w:rsidP="004061BB">
            <w:pPr>
              <w:keepNext/>
              <w:keepLines/>
              <w:rPr>
                <w:rFonts w:ascii="Arial" w:hAnsi="Arial" w:cs="Arial"/>
                <w:sz w:val="20"/>
                <w:szCs w:val="20"/>
              </w:rPr>
            </w:pPr>
            <w:r w:rsidRPr="00AA745A">
              <w:rPr>
                <w:rFonts w:ascii="Arial" w:hAnsi="Arial" w:cs="Arial"/>
                <w:sz w:val="20"/>
                <w:szCs w:val="20"/>
              </w:rPr>
              <w:t xml:space="preserve">a dummy variable for Monday </w:t>
            </w:r>
          </w:p>
        </w:tc>
      </w:tr>
      <w:tr w:rsidR="00C854D9" w14:paraId="74A3BDFA" w14:textId="77777777" w:rsidTr="004061BB">
        <w:trPr>
          <w:jc w:val="center"/>
        </w:trPr>
        <w:tc>
          <w:tcPr>
            <w:tcW w:w="0" w:type="auto"/>
            <w:shd w:val="clear" w:color="auto" w:fill="auto"/>
            <w:vAlign w:val="center"/>
          </w:tcPr>
          <w:p w14:paraId="24D41784" w14:textId="7F560901" w:rsidR="00C854D9" w:rsidRPr="00AA745A" w:rsidRDefault="00C854D9" w:rsidP="004061BB">
            <w:pPr>
              <w:keepNext/>
              <w:keepLines/>
              <w:jc w:val="center"/>
              <w:rPr>
                <w:rFonts w:ascii="Arial" w:hAnsi="Arial" w:cs="Arial"/>
                <w:sz w:val="20"/>
                <w:szCs w:val="20"/>
              </w:rPr>
            </w:pPr>
            <w:r w:rsidRPr="00AA745A">
              <w:rPr>
                <w:rFonts w:ascii="Arial" w:hAnsi="Arial" w:cs="Arial"/>
                <w:i/>
                <w:sz w:val="20"/>
                <w:szCs w:val="20"/>
              </w:rPr>
              <w:t>FRI</w:t>
            </w:r>
            <w:r w:rsidRPr="00AA745A">
              <w:rPr>
                <w:rFonts w:ascii="Arial" w:hAnsi="Arial" w:cs="Arial"/>
                <w:i/>
                <w:sz w:val="20"/>
                <w:szCs w:val="20"/>
                <w:vertAlign w:val="subscript"/>
              </w:rPr>
              <w:t>t</w:t>
            </w:r>
          </w:p>
        </w:tc>
        <w:tc>
          <w:tcPr>
            <w:tcW w:w="0" w:type="auto"/>
            <w:shd w:val="clear" w:color="auto" w:fill="auto"/>
            <w:vAlign w:val="center"/>
          </w:tcPr>
          <w:p w14:paraId="7796F0E0" w14:textId="1960642F" w:rsidR="00C854D9" w:rsidRPr="00AA745A" w:rsidRDefault="00C854D9" w:rsidP="004061BB">
            <w:pPr>
              <w:keepNext/>
              <w:keepLines/>
              <w:rPr>
                <w:rFonts w:ascii="Arial" w:hAnsi="Arial" w:cs="Arial"/>
                <w:sz w:val="20"/>
                <w:szCs w:val="20"/>
              </w:rPr>
            </w:pPr>
            <w:r w:rsidRPr="00AA745A">
              <w:rPr>
                <w:rFonts w:ascii="Arial" w:hAnsi="Arial" w:cs="Arial"/>
                <w:sz w:val="20"/>
                <w:szCs w:val="20"/>
              </w:rPr>
              <w:t xml:space="preserve">a dummy variable for Friday </w:t>
            </w:r>
          </w:p>
        </w:tc>
      </w:tr>
      <w:tr w:rsidR="00C854D9" w14:paraId="5991E385" w14:textId="77777777" w:rsidTr="004061BB">
        <w:trPr>
          <w:jc w:val="center"/>
        </w:trPr>
        <w:tc>
          <w:tcPr>
            <w:tcW w:w="0" w:type="auto"/>
            <w:shd w:val="clear" w:color="auto" w:fill="auto"/>
            <w:vAlign w:val="center"/>
          </w:tcPr>
          <w:p w14:paraId="48BC22B8" w14:textId="12E792AE" w:rsidR="00C854D9" w:rsidRPr="00AA745A" w:rsidRDefault="00C854D9" w:rsidP="004061BB">
            <w:pPr>
              <w:keepNext/>
              <w:keepLines/>
              <w:jc w:val="center"/>
              <w:rPr>
                <w:rFonts w:ascii="Arial" w:hAnsi="Arial" w:cs="Arial"/>
                <w:sz w:val="20"/>
                <w:szCs w:val="20"/>
              </w:rPr>
            </w:pPr>
            <w:r w:rsidRPr="00AA745A">
              <w:rPr>
                <w:rFonts w:ascii="Arial" w:hAnsi="Arial" w:cs="Arial"/>
                <w:i/>
                <w:sz w:val="20"/>
                <w:szCs w:val="20"/>
              </w:rPr>
              <w:t>DTYPE</w:t>
            </w:r>
            <w:r w:rsidRPr="00AA745A">
              <w:rPr>
                <w:rFonts w:ascii="Arial" w:hAnsi="Arial" w:cs="Arial"/>
                <w:i/>
                <w:sz w:val="20"/>
                <w:szCs w:val="20"/>
                <w:vertAlign w:val="subscript"/>
              </w:rPr>
              <w:t>i,t</w:t>
            </w:r>
          </w:p>
        </w:tc>
        <w:tc>
          <w:tcPr>
            <w:tcW w:w="0" w:type="auto"/>
            <w:shd w:val="clear" w:color="auto" w:fill="auto"/>
            <w:vAlign w:val="center"/>
          </w:tcPr>
          <w:p w14:paraId="748CD345" w14:textId="791F805F" w:rsidR="00C854D9" w:rsidRPr="00AA745A" w:rsidRDefault="00C854D9" w:rsidP="004061BB">
            <w:pPr>
              <w:keepNext/>
              <w:keepLines/>
              <w:rPr>
                <w:rFonts w:ascii="Arial" w:hAnsi="Arial" w:cs="Arial"/>
                <w:sz w:val="20"/>
                <w:szCs w:val="20"/>
              </w:rPr>
            </w:pPr>
            <w:r w:rsidRPr="00AA745A">
              <w:rPr>
                <w:rFonts w:ascii="Arial" w:hAnsi="Arial" w:cs="Arial"/>
                <w:sz w:val="20"/>
                <w:szCs w:val="20"/>
              </w:rPr>
              <w:t>a series of dummy variables for each day of the week</w:t>
            </w:r>
          </w:p>
        </w:tc>
      </w:tr>
      <w:tr w:rsidR="00C854D9" w14:paraId="36AD1658" w14:textId="77777777" w:rsidTr="004061BB">
        <w:trPr>
          <w:jc w:val="center"/>
        </w:trPr>
        <w:tc>
          <w:tcPr>
            <w:tcW w:w="0" w:type="auto"/>
            <w:shd w:val="clear" w:color="auto" w:fill="auto"/>
            <w:vAlign w:val="center"/>
          </w:tcPr>
          <w:p w14:paraId="4CD23D0F" w14:textId="56A1534C" w:rsidR="00C854D9" w:rsidRPr="00AA745A" w:rsidRDefault="00C854D9" w:rsidP="004061BB">
            <w:pPr>
              <w:keepNext/>
              <w:keepLines/>
              <w:jc w:val="center"/>
              <w:rPr>
                <w:rFonts w:ascii="Arial" w:hAnsi="Arial" w:cs="Arial"/>
                <w:sz w:val="20"/>
                <w:szCs w:val="20"/>
              </w:rPr>
            </w:pPr>
            <w:r w:rsidRPr="00AA745A">
              <w:rPr>
                <w:rFonts w:ascii="Arial" w:hAnsi="Arial" w:cs="Arial"/>
                <w:i/>
                <w:sz w:val="20"/>
                <w:szCs w:val="20"/>
              </w:rPr>
              <w:t>MONTH</w:t>
            </w:r>
            <w:r w:rsidRPr="00AA745A">
              <w:rPr>
                <w:rFonts w:ascii="Arial" w:hAnsi="Arial" w:cs="Arial"/>
                <w:i/>
                <w:sz w:val="20"/>
                <w:szCs w:val="20"/>
                <w:vertAlign w:val="subscript"/>
              </w:rPr>
              <w:t>i,t</w:t>
            </w:r>
          </w:p>
        </w:tc>
        <w:tc>
          <w:tcPr>
            <w:tcW w:w="0" w:type="auto"/>
            <w:shd w:val="clear" w:color="auto" w:fill="auto"/>
            <w:vAlign w:val="center"/>
          </w:tcPr>
          <w:p w14:paraId="387D36D3" w14:textId="1A3E66AE" w:rsidR="00C854D9" w:rsidRPr="00AA745A" w:rsidRDefault="00C854D9" w:rsidP="004061BB">
            <w:pPr>
              <w:keepNext/>
              <w:keepLines/>
              <w:rPr>
                <w:rFonts w:ascii="Arial" w:hAnsi="Arial" w:cs="Arial"/>
                <w:sz w:val="20"/>
                <w:szCs w:val="20"/>
              </w:rPr>
            </w:pPr>
            <w:r w:rsidRPr="00AA745A">
              <w:rPr>
                <w:rFonts w:ascii="Arial" w:hAnsi="Arial" w:cs="Arial"/>
                <w:sz w:val="20"/>
                <w:szCs w:val="20"/>
              </w:rPr>
              <w:t xml:space="preserve">a series of dummy variables for each month </w:t>
            </w:r>
          </w:p>
        </w:tc>
      </w:tr>
      <w:tr w:rsidR="00C854D9" w14:paraId="0C627BA9" w14:textId="77777777" w:rsidTr="004061BB">
        <w:trPr>
          <w:jc w:val="center"/>
        </w:trPr>
        <w:tc>
          <w:tcPr>
            <w:tcW w:w="0" w:type="auto"/>
            <w:shd w:val="clear" w:color="auto" w:fill="auto"/>
            <w:vAlign w:val="center"/>
          </w:tcPr>
          <w:p w14:paraId="293EF1B5" w14:textId="043FE3D3" w:rsidR="00C854D9" w:rsidRPr="00AA745A" w:rsidRDefault="00C854D9" w:rsidP="004061BB">
            <w:pPr>
              <w:keepNext/>
              <w:keepLines/>
              <w:jc w:val="center"/>
              <w:rPr>
                <w:rFonts w:ascii="Arial" w:hAnsi="Arial" w:cs="Arial"/>
                <w:sz w:val="20"/>
                <w:szCs w:val="20"/>
              </w:rPr>
            </w:pPr>
            <w:r w:rsidRPr="00AA745A">
              <w:rPr>
                <w:rFonts w:ascii="Arial" w:hAnsi="Arial" w:cs="Arial"/>
                <w:i/>
                <w:sz w:val="20"/>
                <w:szCs w:val="20"/>
              </w:rPr>
              <w:t>e</w:t>
            </w:r>
            <w:r w:rsidRPr="00AA745A">
              <w:rPr>
                <w:rFonts w:ascii="Arial" w:hAnsi="Arial" w:cs="Arial"/>
                <w:i/>
                <w:sz w:val="20"/>
                <w:szCs w:val="20"/>
                <w:vertAlign w:val="subscript"/>
              </w:rPr>
              <w:t>t</w:t>
            </w:r>
          </w:p>
        </w:tc>
        <w:tc>
          <w:tcPr>
            <w:tcW w:w="0" w:type="auto"/>
            <w:shd w:val="clear" w:color="auto" w:fill="auto"/>
            <w:vAlign w:val="center"/>
          </w:tcPr>
          <w:p w14:paraId="6ECB6805" w14:textId="69F8811A" w:rsidR="00C854D9" w:rsidRPr="00AA745A" w:rsidRDefault="00C854D9" w:rsidP="004061BB">
            <w:pPr>
              <w:keepNext/>
              <w:keepLines/>
              <w:rPr>
                <w:rFonts w:ascii="Arial" w:hAnsi="Arial" w:cs="Arial"/>
                <w:sz w:val="20"/>
                <w:szCs w:val="20"/>
              </w:rPr>
            </w:pPr>
            <w:r w:rsidRPr="00AA745A">
              <w:rPr>
                <w:rFonts w:ascii="Arial" w:hAnsi="Arial" w:cs="Arial"/>
                <w:sz w:val="20"/>
                <w:szCs w:val="20"/>
              </w:rPr>
              <w:t>the error term.</w:t>
            </w:r>
          </w:p>
        </w:tc>
      </w:tr>
    </w:tbl>
    <w:p w14:paraId="1D8D2E4E" w14:textId="77777777" w:rsidR="003E718A" w:rsidRDefault="003E718A" w:rsidP="003E718A"/>
    <w:p w14:paraId="15197E21" w14:textId="66BB904C" w:rsidR="00C2562C" w:rsidRDefault="00C2562C" w:rsidP="003E718A">
      <w:r>
        <w:t>For PG&amp;E, we removed the weather variables from the reference load regressions and simulation models.</w:t>
      </w:r>
      <w:r w:rsidR="00600B12">
        <w:rPr>
          <w:rStyle w:val="FootnoteReference"/>
        </w:rPr>
        <w:footnoteReference w:id="11"/>
      </w:r>
      <w:r>
        <w:t xml:space="preserve"> A large fraction of PG&amp;E’s BIP load consists of large non-weather sensitive customers for which the models can sometimes estimate wrong-signed weather effects (e.g., loads go down as temperatures go up). Our investigations of the program-level loads from 2014 found no statistically significant relationship between loads and weather conditions. Therefore, while some of the (typically smaller) customers in BIP do display weather sensitivity, this effect is overwhelmed by the noise from the usage fluctuations of non-weather sensitive customers. With the weather effects included in the ex ante analysis, we were forecasting slightly higher load impacts for 1-in-2 scenarios versus equivalent 1-in-10 scenarios. Removing the weather effects makes the reference loads and load impacts identical across weather scenarios. Note that the overall level of ex ante load impacts was not overly sensitive to the inclusion of weather effects, and in fact the exclusion of weather factors results in a conservative program-level load impact compared to other scenarios.</w:t>
      </w:r>
    </w:p>
    <w:p w14:paraId="0E087FB3" w14:textId="77777777" w:rsidR="00C2562C" w:rsidRDefault="00C2562C" w:rsidP="003E718A"/>
    <w:p w14:paraId="4C361CCF" w14:textId="5F3CE8CF" w:rsidR="003E718A" w:rsidRDefault="003E718A" w:rsidP="003E718A">
      <w:r>
        <w:t xml:space="preserve">Once these models were estimated, we simulated 24-hour load profiles for each required scenario. The typical event day was assumed to occur in August. Much of the differences across scenarios can be attributed to varying weather conditions. </w:t>
      </w:r>
      <w:r w:rsidR="004061BB">
        <w:t xml:space="preserve">This is the first program year in which the evaluation includes two sets of </w:t>
      </w:r>
      <w:r>
        <w:t>1-in-2 and 1-in-10 weather years</w:t>
      </w:r>
      <w:r w:rsidR="004061BB">
        <w:t xml:space="preserve">. The sets are differentiated according to whether they correspond to utility-specific conditions </w:t>
      </w:r>
      <w:r w:rsidR="00D1316A">
        <w:t>or CAISO-coincident conditions. The weather conditions used in prior evaluations corresponded to the utility-specific scenarios. All of the weather scenarios (including the utility-specific scenarios) were newly generated in a separate project as part of this year’s evaluation process</w:t>
      </w:r>
      <w:r>
        <w:t xml:space="preserve">.  </w:t>
      </w:r>
    </w:p>
    <w:p w14:paraId="52FC0D0F" w14:textId="77777777" w:rsidR="003E718A" w:rsidRDefault="003E718A" w:rsidP="003E718A"/>
    <w:p w14:paraId="2A8DECD1" w14:textId="7DC07733" w:rsidR="003E718A" w:rsidRDefault="003E718A" w:rsidP="003E718A">
      <w:pPr>
        <w:numPr>
          <w:ilvl w:val="0"/>
          <w:numId w:val="11"/>
        </w:numPr>
      </w:pPr>
      <w:r w:rsidRPr="00AA5190">
        <w:rPr>
          <w:i/>
        </w:rPr>
        <w:t>Calculate</w:t>
      </w:r>
      <w:r>
        <w:rPr>
          <w:i/>
        </w:rPr>
        <w:t xml:space="preserve"> forecast</w:t>
      </w:r>
      <w:r w:rsidRPr="00AA5190">
        <w:rPr>
          <w:i/>
        </w:rPr>
        <w:t xml:space="preserve"> load impacts</w:t>
      </w:r>
    </w:p>
    <w:p w14:paraId="4268DAEF" w14:textId="09491DB8" w:rsidR="00191975" w:rsidRDefault="00191975" w:rsidP="00191975">
      <w:pPr>
        <w:tabs>
          <w:tab w:val="left" w:pos="4140"/>
        </w:tabs>
      </w:pPr>
      <w:r>
        <w:lastRenderedPageBreak/>
        <w:t xml:space="preserve">Each service account’s achievement rate is defined as the estimated load impact divided by the difference between the reference load and the FSL. A result of 100 percent implies that the customer dropped its load exactly to its FSL. Values greater than 100 percent imply event-day loads lower than the FSL, and values less than 100 percent imply event-day loads higher than the FSL. </w:t>
      </w:r>
    </w:p>
    <w:p w14:paraId="4BA3D7CB" w14:textId="77777777" w:rsidR="00191975" w:rsidRDefault="00191975" w:rsidP="00191975">
      <w:pPr>
        <w:tabs>
          <w:tab w:val="left" w:pos="4140"/>
        </w:tabs>
      </w:pPr>
    </w:p>
    <w:p w14:paraId="614C2D0B" w14:textId="4254CDF4" w:rsidR="00191975" w:rsidRDefault="00191975" w:rsidP="00191975">
      <w:r>
        <w:t xml:space="preserve">The achievement rates are based on the estimates for the most recent observed event day. In consultation with the utilities, we determined that using a longer time period (e.g., three years of ex post load impacts, as we do for the DBP study) was not appropriate for this program. Specifically, as customers experience events, they are re-tested if they fail to meet their obligation (i.e., reduce load to the FSL). If they continue to fail, their FSL is increased to the point at which the customer is expected to be able to comply. So the most recent load impact estimates, combined with the most recent FSLs, should provide a good indication of customer performance going forward. In addition, some program design changes make older load impacts less relevant as predictors of future performance. For example, </w:t>
      </w:r>
      <w:r w:rsidR="001C090F">
        <w:t xml:space="preserve">an </w:t>
      </w:r>
      <w:r>
        <w:t xml:space="preserve">increased </w:t>
      </w:r>
      <w:r w:rsidR="001C090F">
        <w:t xml:space="preserve">excess energy charge </w:t>
      </w:r>
      <w:r>
        <w:t xml:space="preserve">for non-compliance (and </w:t>
      </w:r>
      <w:r w:rsidR="001C090F">
        <w:t xml:space="preserve">a </w:t>
      </w:r>
      <w:r>
        <w:t xml:space="preserve">higher </w:t>
      </w:r>
      <w:r w:rsidR="001C090F">
        <w:t>excess energy charge</w:t>
      </w:r>
      <w:r>
        <w:t xml:space="preserve"> for failing to comply during re-test events) may make more recent performance rates higher than performance rates in the more distant past.</w:t>
      </w:r>
    </w:p>
    <w:p w14:paraId="127F5E2A" w14:textId="77777777" w:rsidR="00191975" w:rsidRDefault="00191975" w:rsidP="003E718A"/>
    <w:p w14:paraId="3ECA8065" w14:textId="5505D444" w:rsidR="003E718A" w:rsidRDefault="003E718A" w:rsidP="003E718A">
      <w:r>
        <w:t xml:space="preserve">From these customer-level forecasts of reference loads and load impacts, we form results for any given sub-group of customers (e.g., customers over 200 kW in size in the Greater Bay Area), by summing the reference loads and load impacts across the relevant customers. </w:t>
      </w:r>
    </w:p>
    <w:p w14:paraId="79AC6826" w14:textId="77777777" w:rsidR="003E718A" w:rsidRDefault="003E718A" w:rsidP="003E718A"/>
    <w:p w14:paraId="66246241" w14:textId="49C90EC6" w:rsidR="00191975" w:rsidRDefault="003E718A" w:rsidP="00191975">
      <w:r w:rsidRPr="00333C87">
        <w:t>Because the forecast event window (1:00 to 6:00 p.m. in April through October; and 4:00 to 9:00 p.m. in all other months) differs from the historical event window (</w:t>
      </w:r>
      <w:r w:rsidR="00191975" w:rsidRPr="00333C87">
        <w:t>which can vary across event days</w:t>
      </w:r>
      <w:r w:rsidRPr="00333C87">
        <w:t xml:space="preserve">), we needed to adjust the historical load impacts for use in the ex </w:t>
      </w:r>
      <w:r w:rsidR="00333C87">
        <w:t>ante study. Load impacts are assumed to be zero until the hour prior to the beginning of the event, at which time we apply historical load impacts to the forecast window to best represent the pattern of customer response given the limitations of the observed events. We develop forecast load impacts through the end of the event day because customers load reductions often persist well after the end of the event hours.</w:t>
      </w:r>
    </w:p>
    <w:p w14:paraId="348617AB" w14:textId="2633FD4E" w:rsidR="003E718A" w:rsidRDefault="003E718A" w:rsidP="003E718A"/>
    <w:p w14:paraId="113CCBDF" w14:textId="3E355A11" w:rsidR="003E718A" w:rsidRDefault="008A1C45" w:rsidP="003E718A">
      <w:r>
        <w:t>The uncertainty-adjusted load impacts (i.e., the 10</w:t>
      </w:r>
      <w:r w:rsidRPr="00C87FDC">
        <w:rPr>
          <w:vertAlign w:val="superscript"/>
        </w:rPr>
        <w:t>th</w:t>
      </w:r>
      <w:r>
        <w:t>, 30</w:t>
      </w:r>
      <w:r w:rsidRPr="00C87FDC">
        <w:rPr>
          <w:vertAlign w:val="superscript"/>
        </w:rPr>
        <w:t>th</w:t>
      </w:r>
      <w:r>
        <w:t>, 50</w:t>
      </w:r>
      <w:r w:rsidRPr="00C87FDC">
        <w:rPr>
          <w:vertAlign w:val="superscript"/>
        </w:rPr>
        <w:t>th</w:t>
      </w:r>
      <w:r>
        <w:t>, 70</w:t>
      </w:r>
      <w:r w:rsidRPr="00C87FDC">
        <w:rPr>
          <w:vertAlign w:val="superscript"/>
        </w:rPr>
        <w:t>th</w:t>
      </w:r>
      <w:r>
        <w:t>, and 90</w:t>
      </w:r>
      <w:r w:rsidRPr="00C87FDC">
        <w:rPr>
          <w:vertAlign w:val="superscript"/>
        </w:rPr>
        <w:t>th</w:t>
      </w:r>
      <w:r>
        <w:t xml:space="preserve"> percentile scenarios of load impacts) are based on the standard errors associated with the estimated load impacts from the event day used to determine the customer’s event-day achievement rate, scaled to account for the difference between observed and forecast enrollments. The square of these standard errors (i.e., the variance) is added across customers within each required subgroup. Each uncertainty-adjusted scenario is then calculated under the assumption that the load impacts are normally distributed with a mean equal to the total estimated load impact and a variance based on the standard errors in the estimated load impacts. The uncertainty-adjusted load impacts for the </w:t>
      </w:r>
      <w:r>
        <w:lastRenderedPageBreak/>
        <w:t>average event hour are based on the same event-hour standard errors used in the ex post study.</w:t>
      </w:r>
    </w:p>
    <w:p w14:paraId="6465F503" w14:textId="77777777" w:rsidR="003E718A" w:rsidRDefault="003E718A" w:rsidP="003E718A"/>
    <w:p w14:paraId="36756D79" w14:textId="7CFE115E" w:rsidR="003E718A" w:rsidRDefault="003E718A" w:rsidP="003E718A">
      <w:pPr>
        <w:numPr>
          <w:ilvl w:val="0"/>
          <w:numId w:val="11"/>
        </w:numPr>
      </w:pPr>
      <w:r w:rsidRPr="003A5FB4">
        <w:rPr>
          <w:i/>
        </w:rPr>
        <w:t xml:space="preserve">Apply </w:t>
      </w:r>
      <w:r w:rsidR="00721CA5">
        <w:rPr>
          <w:i/>
        </w:rPr>
        <w:t xml:space="preserve">achievement rates </w:t>
      </w:r>
      <w:r w:rsidRPr="003A5FB4">
        <w:rPr>
          <w:i/>
        </w:rPr>
        <w:t>to reference loads for each event scenario</w:t>
      </w:r>
      <w:r>
        <w:t xml:space="preserve">. </w:t>
      </w:r>
    </w:p>
    <w:p w14:paraId="51F59EB0" w14:textId="495BFCCB" w:rsidR="003E718A" w:rsidRPr="005C35EB" w:rsidRDefault="003E718A" w:rsidP="003E718A">
      <w:r>
        <w:t xml:space="preserve">In this step, the </w:t>
      </w:r>
      <w:r w:rsidR="00721CA5">
        <w:t>customer-specific achievement rates ar</w:t>
      </w:r>
      <w:r>
        <w:t xml:space="preserve">e applied to the reference loads for each scenario to produce all of the required reference loads, estimated event-day loads, and scenarios of load impacts. </w:t>
      </w:r>
      <w:r w:rsidR="00C81717">
        <w:t>The FSL achievement rates for each utility are presented in Appendix B, with the results differentiated by industry group and (hour relative to the called event window).</w:t>
      </w:r>
      <w:r>
        <w:br/>
      </w:r>
    </w:p>
    <w:p w14:paraId="56D596B6" w14:textId="77777777" w:rsidR="003E718A" w:rsidRDefault="003E718A" w:rsidP="003E718A">
      <w:pPr>
        <w:numPr>
          <w:ilvl w:val="0"/>
          <w:numId w:val="11"/>
        </w:numPr>
      </w:pPr>
      <w:r w:rsidRPr="00CA5D61">
        <w:rPr>
          <w:i/>
        </w:rPr>
        <w:t>Apply forecast enrollment</w:t>
      </w:r>
      <w:r>
        <w:rPr>
          <w:i/>
        </w:rPr>
        <w:t>s</w:t>
      </w:r>
      <w:r w:rsidRPr="00CA5D61">
        <w:rPr>
          <w:i/>
        </w:rPr>
        <w:t xml:space="preserve"> to produce program-level load impacts</w:t>
      </w:r>
      <w:r>
        <w:t xml:space="preserve">. </w:t>
      </w:r>
    </w:p>
    <w:p w14:paraId="5B03969D" w14:textId="5E249529" w:rsidR="003E718A" w:rsidRDefault="003E718A" w:rsidP="003E718A">
      <w:r>
        <w:t>The utilities provided enrollment forecasts. PG&amp;E provided monthly enrollments through 202</w:t>
      </w:r>
      <w:r w:rsidR="00721CA5">
        <w:t>5</w:t>
      </w:r>
      <w:r>
        <w:t>, with separate enrollments provided at the program and portfolio level (</w:t>
      </w:r>
      <w:r w:rsidR="00F23AA7">
        <w:t>which are identical for BIP</w:t>
      </w:r>
      <w:r>
        <w:t xml:space="preserve">) by LCA and size group. </w:t>
      </w:r>
      <w:r w:rsidRPr="006753ED">
        <w:t>SCE provided monthly enrollments for 201</w:t>
      </w:r>
      <w:r w:rsidR="00F23AA7" w:rsidRPr="006753ED">
        <w:t>5</w:t>
      </w:r>
      <w:r w:rsidRPr="006753ED">
        <w:t>, 201</w:t>
      </w:r>
      <w:r w:rsidR="00F23AA7" w:rsidRPr="006753ED">
        <w:t>6</w:t>
      </w:r>
      <w:r w:rsidRPr="006753ED">
        <w:t>, and 201</w:t>
      </w:r>
      <w:r w:rsidR="00F23AA7" w:rsidRPr="006753ED">
        <w:t>7</w:t>
      </w:r>
      <w:r w:rsidRPr="006753ED">
        <w:t xml:space="preserve">. We assume that the </w:t>
      </w:r>
      <w:r w:rsidR="00425DE5" w:rsidRPr="006753ED">
        <w:t xml:space="preserve">December </w:t>
      </w:r>
      <w:r w:rsidRPr="006753ED">
        <w:t>201</w:t>
      </w:r>
      <w:r w:rsidR="00F23AA7" w:rsidRPr="006753ED">
        <w:t>7</w:t>
      </w:r>
      <w:r w:rsidRPr="006753ED">
        <w:t xml:space="preserve"> enrollments apply through 202</w:t>
      </w:r>
      <w:r w:rsidR="00F23AA7" w:rsidRPr="006753ED">
        <w:t>5</w:t>
      </w:r>
      <w:r w:rsidRPr="006753ED">
        <w:t>.</w:t>
      </w:r>
      <w:r w:rsidR="006753ED" w:rsidRPr="006753ED">
        <w:t xml:space="preserve"> We assume that the ex post shares</w:t>
      </w:r>
      <w:r w:rsidR="006753ED">
        <w:t xml:space="preserve"> of customers by notification (15 and 30 minute, LCA, and location (e.g., South of Lugo) hold throughout the forecast period.</w:t>
      </w:r>
      <w:r w:rsidRPr="00CC5A6A">
        <w:t xml:space="preserve"> </w:t>
      </w:r>
      <w:r w:rsidR="00F23AA7">
        <w:t>SDG&amp;E indicated that we assume enrollments remain constant throughout the forecast period.</w:t>
      </w:r>
    </w:p>
    <w:p w14:paraId="33B5DE5A" w14:textId="77777777" w:rsidR="003E718A" w:rsidRDefault="003E718A" w:rsidP="003E718A">
      <w:pPr>
        <w:pStyle w:val="Heading2"/>
      </w:pPr>
      <w:bookmarkStart w:id="128" w:name="_Toc227658382"/>
      <w:bookmarkStart w:id="129" w:name="_Toc252887015"/>
      <w:bookmarkStart w:id="130" w:name="_Toc254952722"/>
      <w:bookmarkStart w:id="131" w:name="_Toc257708627"/>
      <w:bookmarkStart w:id="132" w:name="_Toc289180094"/>
      <w:bookmarkStart w:id="133" w:name="_Toc326224657"/>
      <w:bookmarkStart w:id="134" w:name="_Toc411324212"/>
      <w:bookmarkStart w:id="135" w:name="_Toc415488969"/>
      <w:r>
        <w:t xml:space="preserve">5.3 </w:t>
      </w:r>
      <w:bookmarkEnd w:id="128"/>
      <w:bookmarkEnd w:id="129"/>
      <w:r w:rsidRPr="0077185C">
        <w:t>Enrollment Forecasts</w:t>
      </w:r>
      <w:bookmarkEnd w:id="130"/>
      <w:bookmarkEnd w:id="131"/>
      <w:bookmarkEnd w:id="132"/>
      <w:bookmarkEnd w:id="133"/>
      <w:bookmarkEnd w:id="134"/>
      <w:bookmarkEnd w:id="135"/>
    </w:p>
    <w:p w14:paraId="631FE9F3" w14:textId="77777777" w:rsidR="003E718A" w:rsidRPr="000C0049" w:rsidRDefault="003E718A" w:rsidP="003E718A">
      <w:pPr>
        <w:rPr>
          <w:i/>
        </w:rPr>
      </w:pPr>
      <w:r w:rsidRPr="000C0049">
        <w:rPr>
          <w:i/>
        </w:rPr>
        <w:t>PG&amp;E</w:t>
      </w:r>
    </w:p>
    <w:p w14:paraId="5A5F0583" w14:textId="4382008C" w:rsidR="003E718A" w:rsidRDefault="003E718A" w:rsidP="003E718A">
      <w:r>
        <w:t>PG&amp;E forecasts B</w:t>
      </w:r>
      <w:r w:rsidR="00FD67C2">
        <w:t>I</w:t>
      </w:r>
      <w:r>
        <w:t>P enrollments to remain constant from 201</w:t>
      </w:r>
      <w:r w:rsidR="00FD67C2">
        <w:t>5</w:t>
      </w:r>
      <w:r>
        <w:t xml:space="preserve"> through 202</w:t>
      </w:r>
      <w:r w:rsidR="008E1386">
        <w:t>5</w:t>
      </w:r>
      <w:r>
        <w:t xml:space="preserve">, with </w:t>
      </w:r>
      <w:r w:rsidR="008E1386">
        <w:t>203</w:t>
      </w:r>
      <w:r>
        <w:t xml:space="preserve"> </w:t>
      </w:r>
      <w:r w:rsidR="008E1386">
        <w:t xml:space="preserve">enrolled </w:t>
      </w:r>
      <w:r>
        <w:t>service a</w:t>
      </w:r>
      <w:r w:rsidR="00383F6F">
        <w:t>greemen</w:t>
      </w:r>
      <w:r>
        <w:t>ts</w:t>
      </w:r>
      <w:r w:rsidR="008E1386">
        <w:t>. The vast majority of these a</w:t>
      </w:r>
      <w:r w:rsidR="00EA1C26">
        <w:t>greemen</w:t>
      </w:r>
      <w:r w:rsidR="008E1386">
        <w:t>ts (195) are in the larg</w:t>
      </w:r>
      <w:r w:rsidR="00AA154D">
        <w:t>e customer group (over 200 kW). There were 218 service a</w:t>
      </w:r>
      <w:r w:rsidR="00383F6F">
        <w:t>greemen</w:t>
      </w:r>
      <w:r w:rsidR="00AA154D">
        <w:t>ts enrolled for the last PY2014 event day (on September 11, 2014) and forecast enrollment falls to 203 service a</w:t>
      </w:r>
      <w:r w:rsidR="00383F6F">
        <w:t>greement</w:t>
      </w:r>
      <w:r w:rsidR="00AA154D">
        <w:t>s because of voluntary departure and de-enrollment due to non-compliance.</w:t>
      </w:r>
    </w:p>
    <w:p w14:paraId="0A63648F" w14:textId="77777777" w:rsidR="003E718A" w:rsidRPr="00AD1AB7" w:rsidRDefault="003E718A" w:rsidP="003E718A">
      <w:pPr>
        <w:keepNext/>
        <w:keepLines/>
      </w:pPr>
    </w:p>
    <w:p w14:paraId="22157FFE" w14:textId="77777777" w:rsidR="003E718A" w:rsidRDefault="003E718A" w:rsidP="003E718A">
      <w:pPr>
        <w:rPr>
          <w:i/>
        </w:rPr>
      </w:pPr>
      <w:r w:rsidRPr="00DD2161">
        <w:rPr>
          <w:i/>
        </w:rPr>
        <w:t>SCE</w:t>
      </w:r>
    </w:p>
    <w:p w14:paraId="0ADE90BA" w14:textId="313E0D06" w:rsidR="003E718A" w:rsidRDefault="00DD7F04" w:rsidP="003E718A">
      <w:bookmarkStart w:id="136" w:name="_Toc227658384"/>
      <w:bookmarkStart w:id="137" w:name="_Toc252887017"/>
      <w:bookmarkStart w:id="138" w:name="_Toc254952723"/>
      <w:bookmarkStart w:id="139" w:name="_Toc257708628"/>
      <w:bookmarkStart w:id="140" w:name="_Toc289180095"/>
      <w:bookmarkStart w:id="141" w:name="_Toc326224658"/>
      <w:r>
        <w:t>Figure 5</w:t>
      </w:r>
      <w:r w:rsidRPr="00DD2161">
        <w:t>.</w:t>
      </w:r>
      <w:r>
        <w:t>1</w:t>
      </w:r>
      <w:r w:rsidRPr="00DD2161">
        <w:t xml:space="preserve"> shows SCE’s forecast of </w:t>
      </w:r>
      <w:r>
        <w:t>e</w:t>
      </w:r>
      <w:r w:rsidRPr="00DD2161">
        <w:t xml:space="preserve">nrollments by </w:t>
      </w:r>
      <w:r>
        <w:t>month</w:t>
      </w:r>
      <w:r w:rsidRPr="006753ED">
        <w:t xml:space="preserve">. </w:t>
      </w:r>
      <w:r w:rsidR="00345A7F" w:rsidRPr="006753ED">
        <w:t>SCE projects BIP enrollments to decrease during 2015 through 2017 by 15 customers each year, with the reductions occurring in November and December of each year.</w:t>
      </w:r>
    </w:p>
    <w:p w14:paraId="3D51CE05" w14:textId="77777777" w:rsidR="009271C4" w:rsidRDefault="009271C4" w:rsidP="003E718A">
      <w:pPr>
        <w:rPr>
          <w:i/>
        </w:rPr>
      </w:pPr>
    </w:p>
    <w:p w14:paraId="1D67134B" w14:textId="5DC2D69E" w:rsidR="00DD7F04" w:rsidRPr="00DD2161" w:rsidRDefault="00DD7F04" w:rsidP="00DD7F04">
      <w:pPr>
        <w:pStyle w:val="FigureCaption"/>
        <w:keepNext/>
        <w:keepLines/>
      </w:pPr>
      <w:bookmarkStart w:id="142" w:name="_Toc326224723"/>
      <w:bookmarkStart w:id="143" w:name="_Toc382555970"/>
      <w:bookmarkStart w:id="144" w:name="_Toc415489057"/>
      <w:r>
        <w:lastRenderedPageBreak/>
        <w:t>Figure 5</w:t>
      </w:r>
      <w:r w:rsidRPr="00DD2161">
        <w:t>.</w:t>
      </w:r>
      <w:r>
        <w:t>1</w:t>
      </w:r>
      <w:r w:rsidRPr="00DD2161">
        <w:t xml:space="preserve">: Number of Enrolled Customers in Each Forecast Month, </w:t>
      </w:r>
      <w:r w:rsidRPr="00DD2161">
        <w:rPr>
          <w:i/>
        </w:rPr>
        <w:t>SCE</w:t>
      </w:r>
      <w:bookmarkEnd w:id="142"/>
      <w:bookmarkEnd w:id="143"/>
      <w:bookmarkEnd w:id="144"/>
    </w:p>
    <w:p w14:paraId="1FD78016" w14:textId="18626004" w:rsidR="00DD7F04" w:rsidRPr="00DD7F04" w:rsidRDefault="00DD7F04" w:rsidP="003E718A">
      <w:r>
        <w:rPr>
          <w:noProof/>
        </w:rPr>
        <w:drawing>
          <wp:inline distT="0" distB="0" distL="0" distR="0" wp14:anchorId="110A3FF7" wp14:editId="36BAD1E3">
            <wp:extent cx="5486400" cy="3983990"/>
            <wp:effectExtent l="0" t="0" r="0" b="1651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6B0513B" w14:textId="77777777" w:rsidR="00DD7F04" w:rsidRDefault="00DD7F04" w:rsidP="003E718A">
      <w:pPr>
        <w:rPr>
          <w:i/>
        </w:rPr>
      </w:pPr>
    </w:p>
    <w:p w14:paraId="1762E5AC" w14:textId="77777777" w:rsidR="003E718A" w:rsidRPr="00E51726" w:rsidRDefault="003E718A" w:rsidP="003E718A">
      <w:pPr>
        <w:rPr>
          <w:i/>
        </w:rPr>
      </w:pPr>
      <w:r w:rsidRPr="00E51726">
        <w:rPr>
          <w:i/>
        </w:rPr>
        <w:t>SDG&amp;E</w:t>
      </w:r>
    </w:p>
    <w:p w14:paraId="4811B081" w14:textId="7B1CB670" w:rsidR="003E718A" w:rsidRPr="00E51726" w:rsidRDefault="003E718A" w:rsidP="003E718A">
      <w:pPr>
        <w:rPr>
          <w:b/>
        </w:rPr>
      </w:pPr>
      <w:r>
        <w:t xml:space="preserve">We assumed that the </w:t>
      </w:r>
      <w:r w:rsidR="00B525DE">
        <w:t xml:space="preserve">seven </w:t>
      </w:r>
      <w:r>
        <w:t>currently enrolled customers continue to be enrolled in B</w:t>
      </w:r>
      <w:r w:rsidR="008E1386">
        <w:t>I</w:t>
      </w:r>
      <w:r>
        <w:t>P.</w:t>
      </w:r>
    </w:p>
    <w:p w14:paraId="69AD2777" w14:textId="77777777" w:rsidR="003E718A" w:rsidRPr="00D5415E" w:rsidRDefault="003E718A" w:rsidP="003E718A">
      <w:pPr>
        <w:pStyle w:val="Heading2"/>
      </w:pPr>
      <w:bookmarkStart w:id="145" w:name="_Toc411324213"/>
      <w:bookmarkStart w:id="146" w:name="_Toc415488970"/>
      <w:r>
        <w:t>5</w:t>
      </w:r>
      <w:r w:rsidRPr="00D5415E">
        <w:t>.</w:t>
      </w:r>
      <w:r>
        <w:t>4</w:t>
      </w:r>
      <w:r w:rsidRPr="00D5415E">
        <w:t xml:space="preserve"> </w:t>
      </w:r>
      <w:r>
        <w:t>Reference Loads and Load Impacts</w:t>
      </w:r>
      <w:bookmarkEnd w:id="136"/>
      <w:bookmarkEnd w:id="137"/>
      <w:bookmarkEnd w:id="138"/>
      <w:bookmarkEnd w:id="139"/>
      <w:bookmarkEnd w:id="140"/>
      <w:bookmarkEnd w:id="141"/>
      <w:bookmarkEnd w:id="145"/>
      <w:bookmarkEnd w:id="146"/>
    </w:p>
    <w:p w14:paraId="32D001EF" w14:textId="77777777" w:rsidR="003E718A" w:rsidRDefault="003E718A" w:rsidP="003E718A">
      <w:r>
        <w:t xml:space="preserve">For each utility and program type, we provide the following summary information: the hourly profile of reference loads and load impacts for typical event days; the level of load impacts across years; and the distribution of load impacts by local capacity area. </w:t>
      </w:r>
    </w:p>
    <w:p w14:paraId="70E6F168" w14:textId="77777777" w:rsidR="003E718A" w:rsidRDefault="003E718A" w:rsidP="003E718A"/>
    <w:p w14:paraId="66C81CD6" w14:textId="77777777" w:rsidR="003E718A" w:rsidRDefault="003E718A" w:rsidP="003E718A">
      <w:r>
        <w:t xml:space="preserve">Together, these figures provide a useful indication of the anticipated changes in the forecast load impacts across the various scenarios represented in the Protocol tables. </w:t>
      </w:r>
    </w:p>
    <w:p w14:paraId="260739E6" w14:textId="77777777" w:rsidR="003E718A" w:rsidRDefault="003E718A" w:rsidP="003E718A">
      <w:r>
        <w:t>All of the tables required by the Protocols are provided in an Appendix.</w:t>
      </w:r>
    </w:p>
    <w:p w14:paraId="7E450591" w14:textId="77777777" w:rsidR="003E718A" w:rsidRPr="007E650A" w:rsidRDefault="003E718A" w:rsidP="003E718A">
      <w:pPr>
        <w:pStyle w:val="Heading3"/>
        <w:rPr>
          <w:sz w:val="22"/>
        </w:rPr>
      </w:pPr>
      <w:bookmarkStart w:id="147" w:name="_Toc254952724"/>
      <w:bookmarkStart w:id="148" w:name="_Toc257708629"/>
      <w:bookmarkStart w:id="149" w:name="_Toc289180096"/>
      <w:bookmarkStart w:id="150" w:name="_Toc326224659"/>
      <w:bookmarkStart w:id="151" w:name="_Toc411324214"/>
      <w:bookmarkStart w:id="152" w:name="_Toc415488971"/>
      <w:r>
        <w:rPr>
          <w:sz w:val="22"/>
        </w:rPr>
        <w:t>5</w:t>
      </w:r>
      <w:r w:rsidRPr="009C75C1">
        <w:rPr>
          <w:sz w:val="22"/>
        </w:rPr>
        <w:t>.4.1 PG&amp;E</w:t>
      </w:r>
      <w:bookmarkEnd w:id="147"/>
      <w:bookmarkEnd w:id="148"/>
      <w:bookmarkEnd w:id="149"/>
      <w:bookmarkEnd w:id="150"/>
      <w:bookmarkEnd w:id="151"/>
      <w:bookmarkEnd w:id="152"/>
    </w:p>
    <w:p w14:paraId="38F383C9" w14:textId="2BA33747" w:rsidR="003E718A" w:rsidRDefault="003E718A" w:rsidP="003E718A">
      <w:r>
        <w:t xml:space="preserve">Figure 5.2 shows the August 2015 forecast load impacts for a typical event day in a </w:t>
      </w:r>
      <w:r w:rsidR="00180C13">
        <w:t xml:space="preserve">utility-specific </w:t>
      </w:r>
      <w:r>
        <w:t xml:space="preserve">1-in-2 weather year. Event-hour (1:00 to 6:00 p.m.) load impacts average </w:t>
      </w:r>
      <w:r w:rsidR="00180C13">
        <w:t>246</w:t>
      </w:r>
      <w:r>
        <w:t xml:space="preserve"> MW, which represents </w:t>
      </w:r>
      <w:r w:rsidR="00180C13">
        <w:t>85.</w:t>
      </w:r>
      <w:r w:rsidR="00370767">
        <w:t>5</w:t>
      </w:r>
      <w:r>
        <w:t xml:space="preserve"> percent of the enrolled reference load. </w:t>
      </w:r>
      <w:r w:rsidR="00180C13">
        <w:t>The program-level FSL is 47.5 MW, compared to the average event-hour program load of 41.</w:t>
      </w:r>
      <w:r w:rsidR="00370767">
        <w:t>9</w:t>
      </w:r>
      <w:r w:rsidR="00180C13">
        <w:t xml:space="preserve"> MW. This slight over-performance at the program level is consistent with our estimates for the September 11, 2014 event day that serves as the basis for the ex ante load impacts.</w:t>
      </w:r>
    </w:p>
    <w:p w14:paraId="71139673" w14:textId="77777777" w:rsidR="003E718A" w:rsidRDefault="003E718A" w:rsidP="003E718A"/>
    <w:p w14:paraId="177FB137" w14:textId="14F613B7" w:rsidR="003E718A" w:rsidRPr="0097115E" w:rsidRDefault="003E718A" w:rsidP="003E718A">
      <w:pPr>
        <w:pStyle w:val="FigureCaption"/>
        <w:keepNext/>
        <w:keepLines/>
      </w:pPr>
      <w:bookmarkStart w:id="153" w:name="_Toc254953016"/>
      <w:bookmarkStart w:id="154" w:name="_Toc257708740"/>
      <w:bookmarkStart w:id="155" w:name="_Toc289180148"/>
      <w:bookmarkStart w:id="156" w:name="_Toc326224724"/>
      <w:bookmarkStart w:id="157" w:name="_Toc411324667"/>
      <w:bookmarkStart w:id="158" w:name="_Toc415489058"/>
      <w:r w:rsidRPr="0097115E">
        <w:lastRenderedPageBreak/>
        <w:t>Figure</w:t>
      </w:r>
      <w:bookmarkStart w:id="159" w:name="_Toc227022610"/>
      <w:bookmarkStart w:id="160" w:name="_Toc227658419"/>
      <w:r>
        <w:t xml:space="preserve"> 5.2</w:t>
      </w:r>
      <w:r w:rsidRPr="0097115E">
        <w:t xml:space="preserve">: PG&amp;E Hourly Event Day Load Impacts for the Typical Event Day in a </w:t>
      </w:r>
      <w:r w:rsidR="00180C13">
        <w:t xml:space="preserve">Utility-Specific </w:t>
      </w:r>
      <w:r w:rsidRPr="0097115E">
        <w:t>1-in-2 Weather Year for August 201</w:t>
      </w:r>
      <w:bookmarkEnd w:id="153"/>
      <w:bookmarkEnd w:id="159"/>
      <w:bookmarkEnd w:id="160"/>
      <w:bookmarkEnd w:id="154"/>
      <w:bookmarkEnd w:id="155"/>
      <w:bookmarkEnd w:id="156"/>
      <w:bookmarkEnd w:id="157"/>
      <w:r w:rsidR="00180C13">
        <w:t>5</w:t>
      </w:r>
      <w:bookmarkEnd w:id="158"/>
    </w:p>
    <w:p w14:paraId="18BE5324" w14:textId="62C9F844" w:rsidR="003E718A" w:rsidRPr="00AD1AB7" w:rsidRDefault="00A15BB1" w:rsidP="003E718A">
      <w:pPr>
        <w:keepNext/>
        <w:keepLines/>
        <w:spacing w:after="120"/>
        <w:jc w:val="center"/>
      </w:pPr>
      <w:r>
        <w:rPr>
          <w:noProof/>
        </w:rPr>
        <w:drawing>
          <wp:inline distT="0" distB="0" distL="0" distR="0" wp14:anchorId="79464634" wp14:editId="0EDF0B90">
            <wp:extent cx="5486400" cy="398145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054E9110" w14:textId="77777777" w:rsidR="003E718A" w:rsidRDefault="003E718A" w:rsidP="003E718A">
      <w:bookmarkStart w:id="161" w:name="_Toc227022611"/>
      <w:bookmarkStart w:id="162" w:name="_Toc227658420"/>
      <w:bookmarkStart w:id="163" w:name="_Toc254953017"/>
    </w:p>
    <w:p w14:paraId="321FD593" w14:textId="12721C22" w:rsidR="003E718A" w:rsidRDefault="003E718A" w:rsidP="003E718A">
      <w:r>
        <w:t>Figure 5.</w:t>
      </w:r>
      <w:r w:rsidR="00EF3CBF">
        <w:t>3</w:t>
      </w:r>
      <w:r>
        <w:t xml:space="preserve"> shows the share of load impacts by local capacity area, assuming a typical event day in an August 2015 </w:t>
      </w:r>
      <w:r w:rsidR="00EF3CBF">
        <w:t xml:space="preserve">utility-specific </w:t>
      </w:r>
      <w:r>
        <w:t xml:space="preserve">1-in-2 weather year. Customers not in any LCA account for the largest share, with </w:t>
      </w:r>
      <w:r w:rsidR="00F6267E">
        <w:t>7</w:t>
      </w:r>
      <w:r>
        <w:t>4 percent of the load impacts.</w:t>
      </w:r>
    </w:p>
    <w:p w14:paraId="0A513C2D" w14:textId="77777777" w:rsidR="003E718A" w:rsidRDefault="003E718A" w:rsidP="003E718A"/>
    <w:p w14:paraId="697E40AB" w14:textId="2834BA10" w:rsidR="003E718A" w:rsidRPr="0097115E" w:rsidRDefault="003E718A" w:rsidP="003E718A">
      <w:pPr>
        <w:pStyle w:val="FigureCaption"/>
        <w:keepNext/>
        <w:keepLines/>
      </w:pPr>
      <w:bookmarkStart w:id="164" w:name="_Toc257708742"/>
      <w:bookmarkStart w:id="165" w:name="_Toc289180150"/>
      <w:bookmarkStart w:id="166" w:name="_Toc326224726"/>
      <w:bookmarkStart w:id="167" w:name="_Toc411324669"/>
      <w:bookmarkStart w:id="168" w:name="_Toc415489059"/>
      <w:r w:rsidRPr="0097115E">
        <w:lastRenderedPageBreak/>
        <w:t xml:space="preserve">Figure </w:t>
      </w:r>
      <w:r>
        <w:t>5</w:t>
      </w:r>
      <w:r w:rsidRPr="0097115E">
        <w:t>.</w:t>
      </w:r>
      <w:r w:rsidR="00F6267E">
        <w:t>3</w:t>
      </w:r>
      <w:r w:rsidRPr="0097115E">
        <w:t xml:space="preserve">: Share of </w:t>
      </w:r>
      <w:r>
        <w:t xml:space="preserve">PG&amp;E </w:t>
      </w:r>
      <w:r w:rsidRPr="0097115E">
        <w:t>Load Impacts by LCA for the August 2015 Typical Event Day in a</w:t>
      </w:r>
      <w:r w:rsidR="00F6267E">
        <w:t xml:space="preserve"> Utility-specific</w:t>
      </w:r>
      <w:r w:rsidRPr="0097115E">
        <w:t xml:space="preserve"> 1</w:t>
      </w:r>
      <w:r w:rsidRPr="0097115E">
        <w:noBreakHyphen/>
        <w:t>in</w:t>
      </w:r>
      <w:r w:rsidRPr="0097115E">
        <w:noBreakHyphen/>
        <w:t>2 Weather Year</w:t>
      </w:r>
      <w:bookmarkEnd w:id="161"/>
      <w:bookmarkEnd w:id="162"/>
      <w:bookmarkEnd w:id="163"/>
      <w:bookmarkEnd w:id="164"/>
      <w:bookmarkEnd w:id="165"/>
      <w:bookmarkEnd w:id="166"/>
      <w:bookmarkEnd w:id="167"/>
      <w:bookmarkEnd w:id="168"/>
    </w:p>
    <w:p w14:paraId="2B83D469" w14:textId="3F0F4DDB" w:rsidR="003E718A" w:rsidRPr="00AD1AB7" w:rsidRDefault="00370767" w:rsidP="003E718A">
      <w:pPr>
        <w:keepNext/>
        <w:keepLines/>
        <w:jc w:val="center"/>
      </w:pPr>
      <w:r w:rsidRPr="00370767">
        <w:rPr>
          <w:noProof/>
        </w:rPr>
        <w:drawing>
          <wp:inline distT="0" distB="0" distL="0" distR="0" wp14:anchorId="143EA741" wp14:editId="0AB0846F">
            <wp:extent cx="5486400" cy="3974779"/>
            <wp:effectExtent l="0" t="0" r="0" b="698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486400" cy="3974779"/>
                    </a:xfrm>
                    <a:prstGeom prst="rect">
                      <a:avLst/>
                    </a:prstGeom>
                    <a:noFill/>
                    <a:ln>
                      <a:noFill/>
                    </a:ln>
                  </pic:spPr>
                </pic:pic>
              </a:graphicData>
            </a:graphic>
          </wp:inline>
        </w:drawing>
      </w:r>
    </w:p>
    <w:p w14:paraId="7B789662" w14:textId="77777777" w:rsidR="003E718A" w:rsidRPr="00A22D9A" w:rsidRDefault="003E718A" w:rsidP="003E718A">
      <w:pPr>
        <w:keepNext/>
        <w:keepLines/>
        <w:jc w:val="center"/>
      </w:pPr>
    </w:p>
    <w:p w14:paraId="5C2E306D" w14:textId="162243D3" w:rsidR="003E718A" w:rsidRDefault="003E718A" w:rsidP="003E718A">
      <w:r>
        <w:t>Figure 5.</w:t>
      </w:r>
      <w:r w:rsidR="00D921C9">
        <w:t>4</w:t>
      </w:r>
      <w:r>
        <w:t xml:space="preserve"> illustrates August load impact for each forecast scenario, differentiated by 1-in-2 versus 1-in-10 weather conditions</w:t>
      </w:r>
      <w:r w:rsidR="00D921C9">
        <w:t xml:space="preserve"> under both utility-specific and CAISO-coincident peak conditions. T</w:t>
      </w:r>
      <w:r>
        <w:t>he enrollment forecast does not change across the 201</w:t>
      </w:r>
      <w:r w:rsidR="00D921C9">
        <w:t>5</w:t>
      </w:r>
      <w:r w:rsidR="00B85083">
        <w:t>-202</w:t>
      </w:r>
      <w:r w:rsidR="00D921C9">
        <w:t>5</w:t>
      </w:r>
      <w:r>
        <w:t xml:space="preserve"> window, so these load impacts stay cons</w:t>
      </w:r>
      <w:r w:rsidR="00954104">
        <w:t xml:space="preserve">tant </w:t>
      </w:r>
      <w:r>
        <w:t xml:space="preserve">for August across the forecast years. </w:t>
      </w:r>
      <w:r w:rsidR="00D921C9">
        <w:t>Recall that weather effects were removed from PG&amp;E’s ex ante forecast, so each of these scenarios contains a load impact forecast of 246 MW.</w:t>
      </w:r>
    </w:p>
    <w:p w14:paraId="7304A521" w14:textId="77777777" w:rsidR="003E718A" w:rsidRDefault="003E718A" w:rsidP="003E718A"/>
    <w:p w14:paraId="143FD389" w14:textId="7F57253B" w:rsidR="003E718A" w:rsidRPr="0097115E" w:rsidRDefault="003E718A" w:rsidP="003E718A">
      <w:pPr>
        <w:pStyle w:val="FigureCaption"/>
        <w:keepNext/>
        <w:keepLines/>
      </w:pPr>
      <w:bookmarkStart w:id="169" w:name="_Toc227022613"/>
      <w:bookmarkStart w:id="170" w:name="_Toc227658422"/>
      <w:bookmarkStart w:id="171" w:name="_Toc254953018"/>
      <w:bookmarkStart w:id="172" w:name="_Toc257708743"/>
      <w:bookmarkStart w:id="173" w:name="_Toc289180151"/>
      <w:bookmarkStart w:id="174" w:name="_Toc326224727"/>
      <w:bookmarkStart w:id="175" w:name="_Toc411324670"/>
      <w:bookmarkStart w:id="176" w:name="_Toc415489060"/>
      <w:r w:rsidRPr="0097115E">
        <w:lastRenderedPageBreak/>
        <w:t xml:space="preserve">Figure </w:t>
      </w:r>
      <w:r>
        <w:t>5</w:t>
      </w:r>
      <w:r w:rsidRPr="0097115E">
        <w:t>.</w:t>
      </w:r>
      <w:r w:rsidR="00D921C9">
        <w:t>4</w:t>
      </w:r>
      <w:r w:rsidRPr="0097115E">
        <w:t xml:space="preserve">:  </w:t>
      </w:r>
      <w:bookmarkEnd w:id="169"/>
      <w:bookmarkEnd w:id="170"/>
      <w:bookmarkEnd w:id="171"/>
      <w:bookmarkEnd w:id="172"/>
      <w:bookmarkEnd w:id="173"/>
      <w:bookmarkEnd w:id="174"/>
      <w:r w:rsidRPr="0097115E">
        <w:t>Average Hourly Ex Ante Load Impacts by Scenario</w:t>
      </w:r>
      <w:r>
        <w:t xml:space="preserve"> for August</w:t>
      </w:r>
      <w:r w:rsidRPr="0097115E">
        <w:t xml:space="preserve">, </w:t>
      </w:r>
      <w:r w:rsidRPr="0097115E">
        <w:rPr>
          <w:i/>
        </w:rPr>
        <w:t>PG&amp;E</w:t>
      </w:r>
      <w:bookmarkEnd w:id="175"/>
      <w:bookmarkEnd w:id="176"/>
    </w:p>
    <w:p w14:paraId="6FA2DBA6" w14:textId="4442C303" w:rsidR="003E718A" w:rsidRPr="004C2509" w:rsidRDefault="00370767" w:rsidP="003E718A">
      <w:pPr>
        <w:keepNext/>
        <w:keepLines/>
        <w:jc w:val="center"/>
      </w:pPr>
      <w:r>
        <w:rPr>
          <w:noProof/>
        </w:rPr>
        <w:drawing>
          <wp:inline distT="0" distB="0" distL="0" distR="0" wp14:anchorId="50402EF1" wp14:editId="2F9F4B76">
            <wp:extent cx="5486400" cy="3981450"/>
            <wp:effectExtent l="0" t="0" r="0"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55D167F0" w14:textId="77777777" w:rsidR="003E718A" w:rsidRDefault="003E718A" w:rsidP="003E718A">
      <w:bookmarkStart w:id="177" w:name="_Toc254952725"/>
      <w:bookmarkStart w:id="178" w:name="_Toc257708630"/>
      <w:bookmarkStart w:id="179" w:name="_Toc289180097"/>
      <w:bookmarkStart w:id="180" w:name="_Toc326224660"/>
    </w:p>
    <w:p w14:paraId="5D8D4D1C" w14:textId="0BCB0440" w:rsidR="003E718A" w:rsidRDefault="003E718A" w:rsidP="003E718A">
      <w:r>
        <w:t>Table 5.</w:t>
      </w:r>
      <w:r w:rsidR="00954104">
        <w:t>2</w:t>
      </w:r>
      <w:r>
        <w:t xml:space="preserve"> shows the per-customer reference loads and load impacts by weather year (</w:t>
      </w:r>
      <w:r w:rsidR="003D0685">
        <w:t>1-in</w:t>
      </w:r>
      <w:r w:rsidR="00954104">
        <w:t>-2 and 1-in-10 for both utility-specific and CAISO-coincident peak conditions)</w:t>
      </w:r>
      <w:r>
        <w:t xml:space="preserve"> for the August monthly peak day.</w:t>
      </w:r>
    </w:p>
    <w:p w14:paraId="63FBD9EA" w14:textId="77777777" w:rsidR="00954104" w:rsidRDefault="00954104" w:rsidP="003E718A"/>
    <w:p w14:paraId="10D40CBB" w14:textId="6D425312" w:rsidR="003E718A" w:rsidRDefault="003E718A" w:rsidP="003E718A">
      <w:pPr>
        <w:pStyle w:val="TableCaption"/>
        <w:keepNext/>
        <w:keepLines/>
      </w:pPr>
      <w:bookmarkStart w:id="181" w:name="_Toc411324264"/>
      <w:bookmarkStart w:id="182" w:name="_Toc415489022"/>
      <w:r>
        <w:t>Table 5.</w:t>
      </w:r>
      <w:r w:rsidR="00954104">
        <w:t>2</w:t>
      </w:r>
      <w:r>
        <w:t xml:space="preserve">: Per-customer Ex Ante Load Impacts, </w:t>
      </w:r>
      <w:r w:rsidRPr="00624938">
        <w:rPr>
          <w:i/>
        </w:rPr>
        <w:t>PG&amp;E</w:t>
      </w:r>
      <w:bookmarkEnd w:id="181"/>
      <w:bookmarkEnd w:id="182"/>
    </w:p>
    <w:tbl>
      <w:tblPr>
        <w:tblStyle w:val="TableGrid"/>
        <w:tblW w:w="0" w:type="auto"/>
        <w:tblLook w:val="04A0" w:firstRow="1" w:lastRow="0" w:firstColumn="1" w:lastColumn="0" w:noHBand="0" w:noVBand="1"/>
      </w:tblPr>
      <w:tblGrid>
        <w:gridCol w:w="1771"/>
        <w:gridCol w:w="1771"/>
        <w:gridCol w:w="1771"/>
        <w:gridCol w:w="1771"/>
        <w:gridCol w:w="1772"/>
      </w:tblGrid>
      <w:tr w:rsidR="003E718A" w14:paraId="18824573" w14:textId="77777777" w:rsidTr="004061BB">
        <w:tc>
          <w:tcPr>
            <w:tcW w:w="1771" w:type="dxa"/>
            <w:shd w:val="clear" w:color="auto" w:fill="DEEAF6" w:themeFill="accent1" w:themeFillTint="33"/>
            <w:vAlign w:val="center"/>
          </w:tcPr>
          <w:p w14:paraId="31F92871" w14:textId="77777777" w:rsidR="003E718A" w:rsidRPr="00E478AF" w:rsidRDefault="003E718A" w:rsidP="004061BB">
            <w:pPr>
              <w:keepNext/>
              <w:keepLines/>
              <w:jc w:val="center"/>
              <w:rPr>
                <w:rFonts w:ascii="Arial" w:hAnsi="Arial" w:cs="Arial"/>
                <w:b/>
                <w:sz w:val="22"/>
                <w:szCs w:val="22"/>
              </w:rPr>
            </w:pPr>
            <w:r w:rsidRPr="00E478AF">
              <w:rPr>
                <w:rFonts w:ascii="Arial" w:hAnsi="Arial" w:cs="Arial"/>
                <w:b/>
                <w:sz w:val="22"/>
                <w:szCs w:val="22"/>
              </w:rPr>
              <w:t>Scenario</w:t>
            </w:r>
          </w:p>
        </w:tc>
        <w:tc>
          <w:tcPr>
            <w:tcW w:w="1771" w:type="dxa"/>
            <w:shd w:val="clear" w:color="auto" w:fill="DEEAF6" w:themeFill="accent1" w:themeFillTint="33"/>
            <w:vAlign w:val="center"/>
          </w:tcPr>
          <w:p w14:paraId="3E914DF8" w14:textId="77777777" w:rsidR="003E718A" w:rsidRPr="00E478AF" w:rsidRDefault="003E718A" w:rsidP="004061BB">
            <w:pPr>
              <w:keepNext/>
              <w:keepLines/>
              <w:jc w:val="center"/>
              <w:rPr>
                <w:rFonts w:ascii="Arial" w:hAnsi="Arial" w:cs="Arial"/>
                <w:b/>
                <w:sz w:val="22"/>
                <w:szCs w:val="22"/>
              </w:rPr>
            </w:pPr>
            <w:r w:rsidRPr="00E478AF">
              <w:rPr>
                <w:rFonts w:ascii="Arial" w:hAnsi="Arial" w:cs="Arial"/>
                <w:b/>
                <w:sz w:val="22"/>
                <w:szCs w:val="22"/>
              </w:rPr>
              <w:t>Weather Year</w:t>
            </w:r>
          </w:p>
        </w:tc>
        <w:tc>
          <w:tcPr>
            <w:tcW w:w="1771" w:type="dxa"/>
            <w:shd w:val="clear" w:color="auto" w:fill="DEEAF6" w:themeFill="accent1" w:themeFillTint="33"/>
            <w:vAlign w:val="center"/>
          </w:tcPr>
          <w:p w14:paraId="6768F18B" w14:textId="77777777" w:rsidR="003E718A" w:rsidRPr="00E478AF" w:rsidRDefault="003E718A" w:rsidP="004061BB">
            <w:pPr>
              <w:keepNext/>
              <w:keepLines/>
              <w:jc w:val="center"/>
              <w:rPr>
                <w:rFonts w:ascii="Arial" w:hAnsi="Arial" w:cs="Arial"/>
                <w:b/>
                <w:sz w:val="22"/>
                <w:szCs w:val="22"/>
              </w:rPr>
            </w:pPr>
            <w:r w:rsidRPr="00E478AF">
              <w:rPr>
                <w:rFonts w:ascii="Arial" w:hAnsi="Arial" w:cs="Arial"/>
                <w:b/>
                <w:sz w:val="22"/>
                <w:szCs w:val="22"/>
              </w:rPr>
              <w:t>Reference Load (kW)</w:t>
            </w:r>
          </w:p>
        </w:tc>
        <w:tc>
          <w:tcPr>
            <w:tcW w:w="1771" w:type="dxa"/>
            <w:shd w:val="clear" w:color="auto" w:fill="DEEAF6" w:themeFill="accent1" w:themeFillTint="33"/>
            <w:vAlign w:val="center"/>
          </w:tcPr>
          <w:p w14:paraId="40074227" w14:textId="77777777" w:rsidR="003E718A" w:rsidRPr="00E478AF" w:rsidRDefault="003E718A" w:rsidP="004061BB">
            <w:pPr>
              <w:keepNext/>
              <w:keepLines/>
              <w:jc w:val="center"/>
              <w:rPr>
                <w:rFonts w:ascii="Arial" w:hAnsi="Arial" w:cs="Arial"/>
                <w:b/>
                <w:sz w:val="22"/>
                <w:szCs w:val="22"/>
              </w:rPr>
            </w:pPr>
            <w:r w:rsidRPr="00E478AF">
              <w:rPr>
                <w:rFonts w:ascii="Arial" w:hAnsi="Arial" w:cs="Arial"/>
                <w:b/>
                <w:sz w:val="22"/>
                <w:szCs w:val="22"/>
              </w:rPr>
              <w:t>Load Impact (kW)</w:t>
            </w:r>
          </w:p>
        </w:tc>
        <w:tc>
          <w:tcPr>
            <w:tcW w:w="1772" w:type="dxa"/>
            <w:shd w:val="clear" w:color="auto" w:fill="DEEAF6" w:themeFill="accent1" w:themeFillTint="33"/>
            <w:vAlign w:val="center"/>
          </w:tcPr>
          <w:p w14:paraId="7181B825" w14:textId="77777777" w:rsidR="003E718A" w:rsidRPr="00E478AF" w:rsidRDefault="003E718A" w:rsidP="004061BB">
            <w:pPr>
              <w:keepNext/>
              <w:keepLines/>
              <w:jc w:val="center"/>
              <w:rPr>
                <w:rFonts w:ascii="Arial" w:hAnsi="Arial" w:cs="Arial"/>
                <w:b/>
                <w:sz w:val="22"/>
                <w:szCs w:val="22"/>
              </w:rPr>
            </w:pPr>
            <w:r w:rsidRPr="00E478AF">
              <w:rPr>
                <w:rFonts w:ascii="Arial" w:hAnsi="Arial" w:cs="Arial"/>
                <w:b/>
                <w:sz w:val="22"/>
                <w:szCs w:val="22"/>
              </w:rPr>
              <w:t>% Load Impact</w:t>
            </w:r>
          </w:p>
        </w:tc>
      </w:tr>
      <w:tr w:rsidR="00954104" w14:paraId="0093551E" w14:textId="77777777" w:rsidTr="004061BB">
        <w:tc>
          <w:tcPr>
            <w:tcW w:w="1771" w:type="dxa"/>
            <w:vMerge w:val="restart"/>
            <w:vAlign w:val="center"/>
          </w:tcPr>
          <w:p w14:paraId="58AF16BB" w14:textId="29C6BA6E" w:rsidR="00954104" w:rsidRPr="00E478AF" w:rsidRDefault="00954104" w:rsidP="00954104">
            <w:pPr>
              <w:keepNext/>
              <w:keepLines/>
              <w:jc w:val="center"/>
              <w:rPr>
                <w:rFonts w:ascii="Arial" w:hAnsi="Arial" w:cs="Arial"/>
                <w:sz w:val="22"/>
                <w:szCs w:val="22"/>
              </w:rPr>
            </w:pPr>
            <w:r>
              <w:rPr>
                <w:rFonts w:ascii="Arial" w:hAnsi="Arial" w:cs="Arial"/>
                <w:sz w:val="22"/>
                <w:szCs w:val="22"/>
              </w:rPr>
              <w:t>Utility-specific</w:t>
            </w:r>
          </w:p>
        </w:tc>
        <w:tc>
          <w:tcPr>
            <w:tcW w:w="1771" w:type="dxa"/>
            <w:vAlign w:val="center"/>
          </w:tcPr>
          <w:p w14:paraId="5007E87D" w14:textId="77777777" w:rsidR="00954104" w:rsidRPr="00E478AF" w:rsidRDefault="00954104" w:rsidP="004061BB">
            <w:pPr>
              <w:keepNext/>
              <w:keepLines/>
              <w:jc w:val="center"/>
              <w:rPr>
                <w:rFonts w:ascii="Arial" w:hAnsi="Arial" w:cs="Arial"/>
                <w:sz w:val="22"/>
                <w:szCs w:val="22"/>
              </w:rPr>
            </w:pPr>
            <w:r w:rsidRPr="00E478AF">
              <w:rPr>
                <w:rFonts w:ascii="Arial" w:hAnsi="Arial" w:cs="Arial"/>
                <w:sz w:val="22"/>
                <w:szCs w:val="22"/>
              </w:rPr>
              <w:t>1-in-2</w:t>
            </w:r>
          </w:p>
        </w:tc>
        <w:tc>
          <w:tcPr>
            <w:tcW w:w="1771" w:type="dxa"/>
            <w:vAlign w:val="center"/>
          </w:tcPr>
          <w:p w14:paraId="5A6ED41B" w14:textId="66C8C956" w:rsidR="00954104" w:rsidRPr="00E478AF" w:rsidRDefault="00954104" w:rsidP="004061BB">
            <w:pPr>
              <w:keepNext/>
              <w:keepLines/>
              <w:jc w:val="center"/>
              <w:rPr>
                <w:rFonts w:ascii="Arial" w:hAnsi="Arial" w:cs="Arial"/>
                <w:sz w:val="22"/>
                <w:szCs w:val="22"/>
              </w:rPr>
            </w:pPr>
            <w:r>
              <w:rPr>
                <w:rFonts w:ascii="Arial" w:hAnsi="Arial" w:cs="Arial"/>
                <w:sz w:val="22"/>
                <w:szCs w:val="22"/>
              </w:rPr>
              <w:t>1,418</w:t>
            </w:r>
          </w:p>
        </w:tc>
        <w:tc>
          <w:tcPr>
            <w:tcW w:w="1771" w:type="dxa"/>
            <w:vAlign w:val="center"/>
          </w:tcPr>
          <w:p w14:paraId="68CC01B3" w14:textId="49D438FF" w:rsidR="00954104" w:rsidRPr="00E478AF" w:rsidRDefault="00954104" w:rsidP="004061BB">
            <w:pPr>
              <w:keepNext/>
              <w:keepLines/>
              <w:jc w:val="center"/>
              <w:rPr>
                <w:rFonts w:ascii="Arial" w:hAnsi="Arial" w:cs="Arial"/>
                <w:sz w:val="22"/>
                <w:szCs w:val="22"/>
              </w:rPr>
            </w:pPr>
            <w:r>
              <w:rPr>
                <w:rFonts w:ascii="Arial" w:hAnsi="Arial" w:cs="Arial"/>
                <w:sz w:val="22"/>
                <w:szCs w:val="22"/>
              </w:rPr>
              <w:t>1,21</w:t>
            </w:r>
            <w:r w:rsidR="00370767">
              <w:rPr>
                <w:rFonts w:ascii="Arial" w:hAnsi="Arial" w:cs="Arial"/>
                <w:sz w:val="22"/>
                <w:szCs w:val="22"/>
              </w:rPr>
              <w:t>2</w:t>
            </w:r>
          </w:p>
        </w:tc>
        <w:tc>
          <w:tcPr>
            <w:tcW w:w="1772" w:type="dxa"/>
            <w:vAlign w:val="center"/>
          </w:tcPr>
          <w:p w14:paraId="756A0D76" w14:textId="7F59F299" w:rsidR="00954104" w:rsidRPr="00E478AF" w:rsidRDefault="00370767" w:rsidP="004061BB">
            <w:pPr>
              <w:keepNext/>
              <w:keepLines/>
              <w:jc w:val="center"/>
              <w:rPr>
                <w:rFonts w:ascii="Arial" w:hAnsi="Arial" w:cs="Arial"/>
                <w:sz w:val="22"/>
                <w:szCs w:val="22"/>
              </w:rPr>
            </w:pPr>
            <w:r>
              <w:rPr>
                <w:rFonts w:ascii="Arial" w:hAnsi="Arial" w:cs="Arial"/>
                <w:sz w:val="22"/>
                <w:szCs w:val="22"/>
              </w:rPr>
              <w:t>85.5</w:t>
            </w:r>
            <w:r w:rsidR="00954104">
              <w:rPr>
                <w:rFonts w:ascii="Arial" w:hAnsi="Arial" w:cs="Arial"/>
                <w:sz w:val="22"/>
                <w:szCs w:val="22"/>
              </w:rPr>
              <w:t>%</w:t>
            </w:r>
          </w:p>
        </w:tc>
      </w:tr>
      <w:tr w:rsidR="00370767" w14:paraId="0FAC17EE" w14:textId="77777777" w:rsidTr="004061BB">
        <w:tc>
          <w:tcPr>
            <w:tcW w:w="1771" w:type="dxa"/>
            <w:vMerge/>
            <w:vAlign w:val="center"/>
          </w:tcPr>
          <w:p w14:paraId="2F350D15" w14:textId="77777777" w:rsidR="00370767" w:rsidRPr="00E478AF" w:rsidRDefault="00370767" w:rsidP="00370767">
            <w:pPr>
              <w:keepNext/>
              <w:keepLines/>
              <w:jc w:val="center"/>
              <w:rPr>
                <w:rFonts w:ascii="Arial" w:hAnsi="Arial" w:cs="Arial"/>
                <w:sz w:val="22"/>
                <w:szCs w:val="22"/>
              </w:rPr>
            </w:pPr>
          </w:p>
        </w:tc>
        <w:tc>
          <w:tcPr>
            <w:tcW w:w="1771" w:type="dxa"/>
            <w:vAlign w:val="center"/>
          </w:tcPr>
          <w:p w14:paraId="2143A66A" w14:textId="77777777" w:rsidR="00370767" w:rsidRPr="00E478AF" w:rsidRDefault="00370767" w:rsidP="00370767">
            <w:pPr>
              <w:keepNext/>
              <w:keepLines/>
              <w:jc w:val="center"/>
              <w:rPr>
                <w:rFonts w:ascii="Arial" w:hAnsi="Arial" w:cs="Arial"/>
                <w:sz w:val="22"/>
                <w:szCs w:val="22"/>
              </w:rPr>
            </w:pPr>
            <w:r w:rsidRPr="00E478AF">
              <w:rPr>
                <w:rFonts w:ascii="Arial" w:hAnsi="Arial" w:cs="Arial"/>
                <w:sz w:val="22"/>
                <w:szCs w:val="22"/>
              </w:rPr>
              <w:t>1-in-10</w:t>
            </w:r>
          </w:p>
        </w:tc>
        <w:tc>
          <w:tcPr>
            <w:tcW w:w="1771" w:type="dxa"/>
            <w:vAlign w:val="center"/>
          </w:tcPr>
          <w:p w14:paraId="3B53EFEF" w14:textId="053E5270" w:rsidR="00370767" w:rsidRPr="00E478AF" w:rsidRDefault="00370767" w:rsidP="00370767">
            <w:pPr>
              <w:keepNext/>
              <w:keepLines/>
              <w:jc w:val="center"/>
              <w:rPr>
                <w:rFonts w:ascii="Arial" w:hAnsi="Arial" w:cs="Arial"/>
                <w:sz w:val="22"/>
                <w:szCs w:val="22"/>
              </w:rPr>
            </w:pPr>
            <w:r>
              <w:rPr>
                <w:rFonts w:ascii="Arial" w:hAnsi="Arial" w:cs="Arial"/>
                <w:sz w:val="22"/>
                <w:szCs w:val="22"/>
              </w:rPr>
              <w:t>1,418</w:t>
            </w:r>
          </w:p>
        </w:tc>
        <w:tc>
          <w:tcPr>
            <w:tcW w:w="1771" w:type="dxa"/>
            <w:vAlign w:val="center"/>
          </w:tcPr>
          <w:p w14:paraId="1E288798" w14:textId="1067FE26" w:rsidR="00370767" w:rsidRPr="00E478AF" w:rsidRDefault="00370767" w:rsidP="00370767">
            <w:pPr>
              <w:keepNext/>
              <w:keepLines/>
              <w:jc w:val="center"/>
              <w:rPr>
                <w:rFonts w:ascii="Arial" w:hAnsi="Arial" w:cs="Arial"/>
                <w:sz w:val="22"/>
                <w:szCs w:val="22"/>
              </w:rPr>
            </w:pPr>
            <w:r>
              <w:rPr>
                <w:rFonts w:ascii="Arial" w:hAnsi="Arial" w:cs="Arial"/>
                <w:sz w:val="22"/>
                <w:szCs w:val="22"/>
              </w:rPr>
              <w:t>1,212</w:t>
            </w:r>
          </w:p>
        </w:tc>
        <w:tc>
          <w:tcPr>
            <w:tcW w:w="1772" w:type="dxa"/>
            <w:vAlign w:val="center"/>
          </w:tcPr>
          <w:p w14:paraId="13E69342" w14:textId="57AB66E9" w:rsidR="00370767" w:rsidRPr="00E478AF" w:rsidRDefault="00370767" w:rsidP="00370767">
            <w:pPr>
              <w:keepNext/>
              <w:keepLines/>
              <w:jc w:val="center"/>
              <w:rPr>
                <w:rFonts w:ascii="Arial" w:hAnsi="Arial" w:cs="Arial"/>
                <w:sz w:val="22"/>
                <w:szCs w:val="22"/>
              </w:rPr>
            </w:pPr>
            <w:r>
              <w:rPr>
                <w:rFonts w:ascii="Arial" w:hAnsi="Arial" w:cs="Arial"/>
                <w:sz w:val="22"/>
                <w:szCs w:val="22"/>
              </w:rPr>
              <w:t>85.5%</w:t>
            </w:r>
          </w:p>
        </w:tc>
      </w:tr>
      <w:tr w:rsidR="00370767" w14:paraId="0C305618" w14:textId="77777777" w:rsidTr="004061BB">
        <w:tc>
          <w:tcPr>
            <w:tcW w:w="1771" w:type="dxa"/>
            <w:vMerge w:val="restart"/>
            <w:vAlign w:val="center"/>
          </w:tcPr>
          <w:p w14:paraId="581ECDD7" w14:textId="15F46160" w:rsidR="00370767" w:rsidRPr="00E478AF" w:rsidRDefault="00370767" w:rsidP="00370767">
            <w:pPr>
              <w:keepNext/>
              <w:keepLines/>
              <w:jc w:val="center"/>
              <w:rPr>
                <w:rFonts w:ascii="Arial" w:hAnsi="Arial" w:cs="Arial"/>
                <w:sz w:val="22"/>
                <w:szCs w:val="22"/>
              </w:rPr>
            </w:pPr>
            <w:r>
              <w:rPr>
                <w:rFonts w:ascii="Arial" w:hAnsi="Arial" w:cs="Arial"/>
                <w:sz w:val="22"/>
                <w:szCs w:val="22"/>
              </w:rPr>
              <w:t>CAISO-coincident</w:t>
            </w:r>
          </w:p>
        </w:tc>
        <w:tc>
          <w:tcPr>
            <w:tcW w:w="1771" w:type="dxa"/>
            <w:vAlign w:val="center"/>
          </w:tcPr>
          <w:p w14:paraId="30CB9CC7" w14:textId="77777777" w:rsidR="00370767" w:rsidRPr="00E478AF" w:rsidRDefault="00370767" w:rsidP="00370767">
            <w:pPr>
              <w:keepNext/>
              <w:keepLines/>
              <w:jc w:val="center"/>
              <w:rPr>
                <w:rFonts w:ascii="Arial" w:hAnsi="Arial" w:cs="Arial"/>
                <w:sz w:val="22"/>
                <w:szCs w:val="22"/>
              </w:rPr>
            </w:pPr>
            <w:r w:rsidRPr="00E478AF">
              <w:rPr>
                <w:rFonts w:ascii="Arial" w:hAnsi="Arial" w:cs="Arial"/>
                <w:sz w:val="22"/>
                <w:szCs w:val="22"/>
              </w:rPr>
              <w:t>1-in-2</w:t>
            </w:r>
          </w:p>
        </w:tc>
        <w:tc>
          <w:tcPr>
            <w:tcW w:w="1771" w:type="dxa"/>
            <w:vAlign w:val="center"/>
          </w:tcPr>
          <w:p w14:paraId="0E4A58CF" w14:textId="53B7E952" w:rsidR="00370767" w:rsidRPr="00E478AF" w:rsidRDefault="00370767" w:rsidP="00370767">
            <w:pPr>
              <w:keepNext/>
              <w:keepLines/>
              <w:jc w:val="center"/>
              <w:rPr>
                <w:rFonts w:ascii="Arial" w:hAnsi="Arial" w:cs="Arial"/>
                <w:sz w:val="22"/>
                <w:szCs w:val="22"/>
              </w:rPr>
            </w:pPr>
            <w:r>
              <w:rPr>
                <w:rFonts w:ascii="Arial" w:hAnsi="Arial" w:cs="Arial"/>
                <w:sz w:val="22"/>
                <w:szCs w:val="22"/>
              </w:rPr>
              <w:t>1,418</w:t>
            </w:r>
          </w:p>
        </w:tc>
        <w:tc>
          <w:tcPr>
            <w:tcW w:w="1771" w:type="dxa"/>
            <w:vAlign w:val="center"/>
          </w:tcPr>
          <w:p w14:paraId="553DC0DC" w14:textId="0F021EB3" w:rsidR="00370767" w:rsidRPr="00E478AF" w:rsidRDefault="00370767" w:rsidP="00370767">
            <w:pPr>
              <w:keepNext/>
              <w:keepLines/>
              <w:jc w:val="center"/>
              <w:rPr>
                <w:rFonts w:ascii="Arial" w:hAnsi="Arial" w:cs="Arial"/>
                <w:sz w:val="22"/>
                <w:szCs w:val="22"/>
              </w:rPr>
            </w:pPr>
            <w:r>
              <w:rPr>
                <w:rFonts w:ascii="Arial" w:hAnsi="Arial" w:cs="Arial"/>
                <w:sz w:val="22"/>
                <w:szCs w:val="22"/>
              </w:rPr>
              <w:t>1,212</w:t>
            </w:r>
          </w:p>
        </w:tc>
        <w:tc>
          <w:tcPr>
            <w:tcW w:w="1772" w:type="dxa"/>
            <w:vAlign w:val="center"/>
          </w:tcPr>
          <w:p w14:paraId="3D1C9296" w14:textId="12D5EF87" w:rsidR="00370767" w:rsidRPr="00E478AF" w:rsidRDefault="00370767" w:rsidP="00370767">
            <w:pPr>
              <w:keepNext/>
              <w:keepLines/>
              <w:jc w:val="center"/>
              <w:rPr>
                <w:rFonts w:ascii="Arial" w:hAnsi="Arial" w:cs="Arial"/>
                <w:sz w:val="22"/>
                <w:szCs w:val="22"/>
              </w:rPr>
            </w:pPr>
            <w:r>
              <w:rPr>
                <w:rFonts w:ascii="Arial" w:hAnsi="Arial" w:cs="Arial"/>
                <w:sz w:val="22"/>
                <w:szCs w:val="22"/>
              </w:rPr>
              <w:t>85.5%</w:t>
            </w:r>
          </w:p>
        </w:tc>
      </w:tr>
      <w:tr w:rsidR="00370767" w14:paraId="046FBD8F" w14:textId="77777777" w:rsidTr="004061BB">
        <w:tc>
          <w:tcPr>
            <w:tcW w:w="1771" w:type="dxa"/>
            <w:vMerge/>
            <w:vAlign w:val="center"/>
          </w:tcPr>
          <w:p w14:paraId="356382C7" w14:textId="77777777" w:rsidR="00370767" w:rsidRPr="00E478AF" w:rsidRDefault="00370767" w:rsidP="00370767">
            <w:pPr>
              <w:keepNext/>
              <w:keepLines/>
              <w:jc w:val="center"/>
              <w:rPr>
                <w:rFonts w:ascii="Arial" w:hAnsi="Arial" w:cs="Arial"/>
                <w:sz w:val="22"/>
                <w:szCs w:val="22"/>
              </w:rPr>
            </w:pPr>
          </w:p>
        </w:tc>
        <w:tc>
          <w:tcPr>
            <w:tcW w:w="1771" w:type="dxa"/>
            <w:vAlign w:val="center"/>
          </w:tcPr>
          <w:p w14:paraId="459CDEA4" w14:textId="77777777" w:rsidR="00370767" w:rsidRPr="00E478AF" w:rsidRDefault="00370767" w:rsidP="00370767">
            <w:pPr>
              <w:keepNext/>
              <w:keepLines/>
              <w:jc w:val="center"/>
              <w:rPr>
                <w:rFonts w:ascii="Arial" w:hAnsi="Arial" w:cs="Arial"/>
                <w:sz w:val="22"/>
                <w:szCs w:val="22"/>
              </w:rPr>
            </w:pPr>
            <w:r w:rsidRPr="00E478AF">
              <w:rPr>
                <w:rFonts w:ascii="Arial" w:hAnsi="Arial" w:cs="Arial"/>
                <w:sz w:val="22"/>
                <w:szCs w:val="22"/>
              </w:rPr>
              <w:t>1-in-10</w:t>
            </w:r>
          </w:p>
        </w:tc>
        <w:tc>
          <w:tcPr>
            <w:tcW w:w="1771" w:type="dxa"/>
            <w:vAlign w:val="center"/>
          </w:tcPr>
          <w:p w14:paraId="2E1604F5" w14:textId="7C412496" w:rsidR="00370767" w:rsidRPr="00E478AF" w:rsidRDefault="00370767" w:rsidP="00370767">
            <w:pPr>
              <w:keepNext/>
              <w:keepLines/>
              <w:jc w:val="center"/>
              <w:rPr>
                <w:rFonts w:ascii="Arial" w:hAnsi="Arial" w:cs="Arial"/>
                <w:sz w:val="22"/>
                <w:szCs w:val="22"/>
              </w:rPr>
            </w:pPr>
            <w:r>
              <w:rPr>
                <w:rFonts w:ascii="Arial" w:hAnsi="Arial" w:cs="Arial"/>
                <w:sz w:val="22"/>
                <w:szCs w:val="22"/>
              </w:rPr>
              <w:t>1,418</w:t>
            </w:r>
          </w:p>
        </w:tc>
        <w:tc>
          <w:tcPr>
            <w:tcW w:w="1771" w:type="dxa"/>
            <w:vAlign w:val="center"/>
          </w:tcPr>
          <w:p w14:paraId="1DC8FA81" w14:textId="66F92FED" w:rsidR="00370767" w:rsidRPr="00E478AF" w:rsidRDefault="00370767" w:rsidP="00370767">
            <w:pPr>
              <w:keepNext/>
              <w:keepLines/>
              <w:jc w:val="center"/>
              <w:rPr>
                <w:rFonts w:ascii="Arial" w:hAnsi="Arial" w:cs="Arial"/>
                <w:sz w:val="22"/>
                <w:szCs w:val="22"/>
              </w:rPr>
            </w:pPr>
            <w:r>
              <w:rPr>
                <w:rFonts w:ascii="Arial" w:hAnsi="Arial" w:cs="Arial"/>
                <w:sz w:val="22"/>
                <w:szCs w:val="22"/>
              </w:rPr>
              <w:t>1,212</w:t>
            </w:r>
          </w:p>
        </w:tc>
        <w:tc>
          <w:tcPr>
            <w:tcW w:w="1772" w:type="dxa"/>
            <w:vAlign w:val="center"/>
          </w:tcPr>
          <w:p w14:paraId="423EF5FD" w14:textId="0CB58FAE" w:rsidR="00370767" w:rsidRPr="00E478AF" w:rsidRDefault="00370767" w:rsidP="00370767">
            <w:pPr>
              <w:keepNext/>
              <w:keepLines/>
              <w:jc w:val="center"/>
              <w:rPr>
                <w:rFonts w:ascii="Arial" w:hAnsi="Arial" w:cs="Arial"/>
                <w:sz w:val="22"/>
                <w:szCs w:val="22"/>
              </w:rPr>
            </w:pPr>
            <w:r>
              <w:rPr>
                <w:rFonts w:ascii="Arial" w:hAnsi="Arial" w:cs="Arial"/>
                <w:sz w:val="22"/>
                <w:szCs w:val="22"/>
              </w:rPr>
              <w:t>85.5%</w:t>
            </w:r>
          </w:p>
        </w:tc>
      </w:tr>
    </w:tbl>
    <w:p w14:paraId="4DC7D7D6" w14:textId="77777777" w:rsidR="003E718A" w:rsidRDefault="003E718A" w:rsidP="003E718A">
      <w:pPr>
        <w:pStyle w:val="Heading3"/>
        <w:rPr>
          <w:sz w:val="22"/>
        </w:rPr>
      </w:pPr>
      <w:bookmarkStart w:id="183" w:name="_Toc411324215"/>
      <w:bookmarkStart w:id="184" w:name="_Toc415488972"/>
      <w:r>
        <w:rPr>
          <w:sz w:val="22"/>
        </w:rPr>
        <w:t>5</w:t>
      </w:r>
      <w:r w:rsidRPr="00333379">
        <w:rPr>
          <w:sz w:val="22"/>
        </w:rPr>
        <w:t>.4.2 SCE</w:t>
      </w:r>
      <w:bookmarkEnd w:id="177"/>
      <w:bookmarkEnd w:id="178"/>
      <w:bookmarkEnd w:id="179"/>
      <w:bookmarkEnd w:id="180"/>
      <w:bookmarkEnd w:id="183"/>
      <w:bookmarkEnd w:id="184"/>
    </w:p>
    <w:p w14:paraId="6F824839" w14:textId="0F376339" w:rsidR="008F77E6" w:rsidRDefault="008F77E6" w:rsidP="008F77E6">
      <w:bookmarkStart w:id="185" w:name="_Toc411324216"/>
      <w:bookmarkStart w:id="186" w:name="_Toc326224661"/>
      <w:r>
        <w:t>Figure 5.5 shows the August 2015 forecast load impacts for a typical event day in a utility-specific 1-in-2 weather year. Event-hour (1:00 to 6:0</w:t>
      </w:r>
      <w:r w:rsidR="00233627">
        <w:t>0 p.m.) load impacts average 668 MW, which represents 81</w:t>
      </w:r>
      <w:r>
        <w:t>.</w:t>
      </w:r>
      <w:r w:rsidR="00233627">
        <w:t>2</w:t>
      </w:r>
      <w:r>
        <w:t xml:space="preserve"> percent of the enrolled reference l</w:t>
      </w:r>
      <w:r w:rsidR="00233627">
        <w:t>oad. The program-level FSL is 84</w:t>
      </w:r>
      <w:r>
        <w:t>.</w:t>
      </w:r>
      <w:r w:rsidR="00233627">
        <w:t>1</w:t>
      </w:r>
      <w:r>
        <w:t xml:space="preserve"> MW, compared to the average event-hour program load of 1</w:t>
      </w:r>
      <w:r w:rsidR="00233627">
        <w:t>54</w:t>
      </w:r>
      <w:r>
        <w:t>.</w:t>
      </w:r>
      <w:r w:rsidR="00233627">
        <w:t>8</w:t>
      </w:r>
      <w:r>
        <w:t xml:space="preserve"> MW. This under-performance at the program level is consistent with our estimates for the February 6, 2014 event day that serves as the basis for the ex ante load impacts.</w:t>
      </w:r>
    </w:p>
    <w:p w14:paraId="3703DB68" w14:textId="77777777" w:rsidR="00334041" w:rsidRDefault="00334041" w:rsidP="008F77E6"/>
    <w:p w14:paraId="449600ED" w14:textId="2DCC40CE" w:rsidR="00334041" w:rsidRDefault="00334041" w:rsidP="00334041">
      <w:pPr>
        <w:pStyle w:val="FigureCaption"/>
      </w:pPr>
      <w:bookmarkStart w:id="187" w:name="_Toc415489061"/>
      <w:r w:rsidRPr="0097115E">
        <w:lastRenderedPageBreak/>
        <w:t>Figure</w:t>
      </w:r>
      <w:r>
        <w:t xml:space="preserve"> 5.</w:t>
      </w:r>
      <w:r w:rsidR="00372CA5">
        <w:t>5</w:t>
      </w:r>
      <w:r>
        <w:t>: SC</w:t>
      </w:r>
      <w:r w:rsidRPr="0097115E">
        <w:t xml:space="preserve">E Hourly Event Day Load Impacts for the Typical Event Day in a </w:t>
      </w:r>
      <w:r>
        <w:t xml:space="preserve">Utility-Specific </w:t>
      </w:r>
      <w:r w:rsidRPr="0097115E">
        <w:t>1-in-2 Weather Year for August 201</w:t>
      </w:r>
      <w:r>
        <w:t>5</w:t>
      </w:r>
      <w:bookmarkEnd w:id="187"/>
    </w:p>
    <w:p w14:paraId="09BBF11B" w14:textId="1817B1F0" w:rsidR="00334041" w:rsidRDefault="00233627" w:rsidP="00233627">
      <w:pPr>
        <w:jc w:val="center"/>
      </w:pPr>
      <w:r>
        <w:rPr>
          <w:noProof/>
        </w:rPr>
        <w:drawing>
          <wp:inline distT="0" distB="0" distL="0" distR="0" wp14:anchorId="6011F7F6" wp14:editId="21042104">
            <wp:extent cx="5486400" cy="3984625"/>
            <wp:effectExtent l="0" t="0" r="0" b="1587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4EE40445" w14:textId="77777777" w:rsidR="00334041" w:rsidRDefault="00334041" w:rsidP="008F77E6"/>
    <w:p w14:paraId="2A04F542" w14:textId="4DF6051E" w:rsidR="00334041" w:rsidRDefault="00334041" w:rsidP="008F77E6">
      <w:r>
        <w:t>Figure 5.6 shows the share of load impacts by local capacity area, assuming a typical event day in an August 2015 utility-specific 1-in-2 weather year. LA Basin customers accoun</w:t>
      </w:r>
      <w:r w:rsidR="00C52CE7">
        <w:t>t for the largest share, with 70</w:t>
      </w:r>
      <w:r>
        <w:t xml:space="preserve"> percent of the load impacts.</w:t>
      </w:r>
    </w:p>
    <w:p w14:paraId="607FE0AD" w14:textId="77777777" w:rsidR="00334041" w:rsidRDefault="00334041" w:rsidP="008F77E6"/>
    <w:p w14:paraId="2E6E7646" w14:textId="77777777" w:rsidR="00334041" w:rsidRDefault="00334041" w:rsidP="00372CA5">
      <w:pPr>
        <w:pStyle w:val="FigureCaption"/>
        <w:keepNext/>
        <w:keepLines/>
      </w:pPr>
      <w:bookmarkStart w:id="188" w:name="_Toc415489062"/>
      <w:r w:rsidRPr="0097115E">
        <w:lastRenderedPageBreak/>
        <w:t xml:space="preserve">Figure </w:t>
      </w:r>
      <w:r>
        <w:t>5</w:t>
      </w:r>
      <w:r w:rsidRPr="0097115E">
        <w:t>.</w:t>
      </w:r>
      <w:r>
        <w:t>6</w:t>
      </w:r>
      <w:r w:rsidRPr="0097115E">
        <w:t xml:space="preserve">: Share of </w:t>
      </w:r>
      <w:r>
        <w:t xml:space="preserve">SCE </w:t>
      </w:r>
      <w:r w:rsidRPr="0097115E">
        <w:t>Load Impacts by LCA for the August 2015 Typical Event Day in a</w:t>
      </w:r>
      <w:r>
        <w:t xml:space="preserve"> Utility-specific</w:t>
      </w:r>
      <w:r w:rsidRPr="0097115E">
        <w:t xml:space="preserve"> 1</w:t>
      </w:r>
      <w:r w:rsidRPr="0097115E">
        <w:noBreakHyphen/>
        <w:t>in</w:t>
      </w:r>
      <w:r w:rsidRPr="0097115E">
        <w:noBreakHyphen/>
        <w:t>2 Weather Year</w:t>
      </w:r>
      <w:bookmarkEnd w:id="188"/>
      <w:r>
        <w:t xml:space="preserve"> </w:t>
      </w:r>
    </w:p>
    <w:p w14:paraId="09D7980A" w14:textId="1DEC2C07" w:rsidR="00334041" w:rsidRPr="0097115E" w:rsidRDefault="00C52CE7" w:rsidP="00372CA5">
      <w:pPr>
        <w:keepNext/>
        <w:keepLines/>
      </w:pPr>
      <w:r>
        <w:rPr>
          <w:noProof/>
        </w:rPr>
        <w:drawing>
          <wp:inline distT="0" distB="0" distL="0" distR="0" wp14:anchorId="0861DC17" wp14:editId="594F5BCC">
            <wp:extent cx="5486400" cy="3979545"/>
            <wp:effectExtent l="0" t="0" r="0" b="190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24DB3D9E" w14:textId="77777777" w:rsidR="00334041" w:rsidRDefault="00334041" w:rsidP="008F77E6"/>
    <w:p w14:paraId="2D0AEADD" w14:textId="0F2DDC4D" w:rsidR="00354A34" w:rsidRDefault="00354A34" w:rsidP="00354A34">
      <w:r>
        <w:t>Figure 5.7 shows the share of load impacts by notification time, assuming a typical event day in an August 2015 utility-specific 1-in-2 weather year. Customers required to reduce demand to their FSL</w:t>
      </w:r>
      <w:r w:rsidR="00AC2427">
        <w:t xml:space="preserve"> within 15</w:t>
      </w:r>
      <w:r>
        <w:t xml:space="preserve"> minutes of a Notice of Interruption </w:t>
      </w:r>
      <w:r w:rsidR="00AC2427">
        <w:t>make up just 11 percent</w:t>
      </w:r>
      <w:r w:rsidR="00077AF3">
        <w:t xml:space="preserve"> of customers but account for 22</w:t>
      </w:r>
      <w:r>
        <w:t xml:space="preserve"> percent of the load impacts.</w:t>
      </w:r>
    </w:p>
    <w:p w14:paraId="53382C5E" w14:textId="77777777" w:rsidR="00354A34" w:rsidRDefault="00354A34" w:rsidP="008F77E6"/>
    <w:p w14:paraId="71098752" w14:textId="415F531F" w:rsidR="00354A34" w:rsidRDefault="00354A34" w:rsidP="002712E7">
      <w:pPr>
        <w:keepNext/>
        <w:keepLines/>
        <w:jc w:val="center"/>
        <w:rPr>
          <w:noProof/>
        </w:rPr>
      </w:pPr>
      <w:bookmarkStart w:id="189" w:name="_Toc415489063"/>
      <w:r w:rsidRPr="00354A34">
        <w:rPr>
          <w:rStyle w:val="FigureCaptionChar"/>
        </w:rPr>
        <w:lastRenderedPageBreak/>
        <w:t>Figure 5.</w:t>
      </w:r>
      <w:r>
        <w:rPr>
          <w:rStyle w:val="FigureCaptionChar"/>
        </w:rPr>
        <w:t>7</w:t>
      </w:r>
      <w:r w:rsidRPr="00354A34">
        <w:rPr>
          <w:rStyle w:val="FigureCaptionChar"/>
        </w:rPr>
        <w:t xml:space="preserve">: Share of SCE </w:t>
      </w:r>
      <w:r>
        <w:rPr>
          <w:rStyle w:val="FigureCaptionChar"/>
        </w:rPr>
        <w:t>Load Impacts by Notification Time</w:t>
      </w:r>
      <w:r w:rsidRPr="00354A34">
        <w:rPr>
          <w:rStyle w:val="FigureCaptionChar"/>
        </w:rPr>
        <w:t xml:space="preserve"> for the August 2015 Typical Event Day in a Utility-specific 1</w:t>
      </w:r>
      <w:r w:rsidRPr="00354A34">
        <w:rPr>
          <w:rStyle w:val="FigureCaptionChar"/>
        </w:rPr>
        <w:noBreakHyphen/>
        <w:t>in</w:t>
      </w:r>
      <w:r w:rsidRPr="00354A34">
        <w:rPr>
          <w:rStyle w:val="FigureCaptionChar"/>
        </w:rPr>
        <w:noBreakHyphen/>
        <w:t>2 Weather Year</w:t>
      </w:r>
      <w:bookmarkEnd w:id="189"/>
      <w:r w:rsidR="00AC2427" w:rsidRPr="00AC2427">
        <w:rPr>
          <w:noProof/>
        </w:rPr>
        <w:t xml:space="preserve"> </w:t>
      </w:r>
    </w:p>
    <w:p w14:paraId="15995AD7" w14:textId="2FCE1CCC" w:rsidR="00354A34" w:rsidRDefault="002712E7" w:rsidP="002712E7">
      <w:pPr>
        <w:keepNext/>
        <w:keepLines/>
      </w:pPr>
      <w:r>
        <w:rPr>
          <w:noProof/>
        </w:rPr>
        <w:drawing>
          <wp:inline distT="0" distB="0" distL="0" distR="0" wp14:anchorId="11338299" wp14:editId="102F7FF5">
            <wp:extent cx="5486400" cy="3981450"/>
            <wp:effectExtent l="0" t="0" r="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094C8DB5" w14:textId="77777777" w:rsidR="002712E7" w:rsidRDefault="002712E7" w:rsidP="008F77E6"/>
    <w:p w14:paraId="27A478C4" w14:textId="74DE8EF6" w:rsidR="00DB7F6B" w:rsidRDefault="00DB7F6B" w:rsidP="008F77E6">
      <w:r>
        <w:t>Figure 5.</w:t>
      </w:r>
      <w:r w:rsidR="00354A34">
        <w:t>8</w:t>
      </w:r>
      <w:r>
        <w:t xml:space="preserve"> illustrates August load i</w:t>
      </w:r>
      <w:r w:rsidR="007E6864">
        <w:t>mpact for each forecast scenario</w:t>
      </w:r>
      <w:r>
        <w:t xml:space="preserve">, differentiated by 1-in-2 versus 1-in-10 weather conditions under both utility-specific and CAISO-coincident peak conditions. </w:t>
      </w:r>
      <w:r w:rsidR="007E6864">
        <w:t xml:space="preserve">These load impacts are shown for forecast years 2015 through 2017. </w:t>
      </w:r>
      <w:r>
        <w:t xml:space="preserve">The load impact is not sensitive to weather conditions, </w:t>
      </w:r>
      <w:r w:rsidR="007E6864">
        <w:t>but it decreases over time due to forecast reductions in enrollment.</w:t>
      </w:r>
    </w:p>
    <w:p w14:paraId="7E002CFC" w14:textId="77777777" w:rsidR="00DB7F6B" w:rsidRDefault="00DB7F6B" w:rsidP="008F77E6"/>
    <w:p w14:paraId="67CACB10" w14:textId="06A0CC4D" w:rsidR="00DB7F6B" w:rsidRDefault="00DB7F6B" w:rsidP="00AB21AC">
      <w:pPr>
        <w:pStyle w:val="FigureCaption"/>
        <w:keepNext/>
        <w:keepLines/>
      </w:pPr>
      <w:bookmarkStart w:id="190" w:name="_Toc415489064"/>
      <w:r w:rsidRPr="0097115E">
        <w:lastRenderedPageBreak/>
        <w:t xml:space="preserve">Figure </w:t>
      </w:r>
      <w:r>
        <w:t>5</w:t>
      </w:r>
      <w:r w:rsidRPr="0097115E">
        <w:t>.</w:t>
      </w:r>
      <w:r w:rsidR="00354A34">
        <w:t>8</w:t>
      </w:r>
      <w:r w:rsidRPr="0097115E">
        <w:t>:  Average Hourly Ex Ante Load Impacts by Scenario</w:t>
      </w:r>
      <w:r w:rsidR="007E6864">
        <w:t xml:space="preserve"> and Year</w:t>
      </w:r>
      <w:r>
        <w:t xml:space="preserve"> for August</w:t>
      </w:r>
      <w:r w:rsidRPr="0097115E">
        <w:t xml:space="preserve">, </w:t>
      </w:r>
      <w:r>
        <w:rPr>
          <w:i/>
        </w:rPr>
        <w:t>SC</w:t>
      </w:r>
      <w:r w:rsidRPr="0097115E">
        <w:rPr>
          <w:i/>
        </w:rPr>
        <w:t>E</w:t>
      </w:r>
      <w:bookmarkEnd w:id="190"/>
    </w:p>
    <w:p w14:paraId="44F85773" w14:textId="1983299E" w:rsidR="00DB7F6B" w:rsidRDefault="00561743" w:rsidP="008F77E6">
      <w:r>
        <w:rPr>
          <w:noProof/>
        </w:rPr>
        <w:drawing>
          <wp:inline distT="0" distB="0" distL="0" distR="0" wp14:anchorId="57E05875" wp14:editId="5F803C75">
            <wp:extent cx="5486400" cy="3985260"/>
            <wp:effectExtent l="0" t="0" r="0" b="1524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7DF35DDE" w14:textId="77777777" w:rsidR="00D3007C" w:rsidRDefault="00D3007C" w:rsidP="00D3007C"/>
    <w:p w14:paraId="2596537D" w14:textId="05B7DF37" w:rsidR="00D3007C" w:rsidRDefault="00D3007C" w:rsidP="00D3007C">
      <w:r>
        <w:t>Table 5.3</w:t>
      </w:r>
      <w:r w:rsidR="00BF5521">
        <w:t xml:space="preserve"> shows the </w:t>
      </w:r>
      <w:r>
        <w:t xml:space="preserve">per-customer reference loads and load impacts by weather year (1-in-2 and 1-in-10 for both utility-specific and CAISO-coincident peak conditions) for the August </w:t>
      </w:r>
      <w:r w:rsidR="00BF5521">
        <w:t xml:space="preserve">2015 </w:t>
      </w:r>
      <w:r>
        <w:t>monthly peak day.</w:t>
      </w:r>
    </w:p>
    <w:p w14:paraId="130DA985" w14:textId="77777777" w:rsidR="00D3007C" w:rsidRDefault="00D3007C" w:rsidP="00D3007C"/>
    <w:p w14:paraId="0E2D1542" w14:textId="3818AADC" w:rsidR="00D3007C" w:rsidRDefault="00D3007C" w:rsidP="00D3007C">
      <w:pPr>
        <w:pStyle w:val="TableCaption"/>
        <w:keepNext/>
        <w:keepLines/>
      </w:pPr>
      <w:bookmarkStart w:id="191" w:name="_Toc415489023"/>
      <w:r>
        <w:t xml:space="preserve">Table 5.3: Per-customer Ex Ante Load Impacts, </w:t>
      </w:r>
      <w:r>
        <w:rPr>
          <w:i/>
        </w:rPr>
        <w:t>SC</w:t>
      </w:r>
      <w:r w:rsidRPr="00624938">
        <w:rPr>
          <w:i/>
        </w:rPr>
        <w:t>E</w:t>
      </w:r>
      <w:bookmarkEnd w:id="191"/>
    </w:p>
    <w:tbl>
      <w:tblPr>
        <w:tblStyle w:val="TableGrid"/>
        <w:tblW w:w="0" w:type="auto"/>
        <w:tblLook w:val="04A0" w:firstRow="1" w:lastRow="0" w:firstColumn="1" w:lastColumn="0" w:noHBand="0" w:noVBand="1"/>
      </w:tblPr>
      <w:tblGrid>
        <w:gridCol w:w="1771"/>
        <w:gridCol w:w="1771"/>
        <w:gridCol w:w="1771"/>
        <w:gridCol w:w="1771"/>
        <w:gridCol w:w="1772"/>
      </w:tblGrid>
      <w:tr w:rsidR="00D3007C" w14:paraId="40722049" w14:textId="77777777" w:rsidTr="00AF1B75">
        <w:tc>
          <w:tcPr>
            <w:tcW w:w="1771" w:type="dxa"/>
            <w:shd w:val="clear" w:color="auto" w:fill="DEEAF6" w:themeFill="accent1" w:themeFillTint="33"/>
            <w:vAlign w:val="center"/>
          </w:tcPr>
          <w:p w14:paraId="72953275" w14:textId="77777777" w:rsidR="00D3007C" w:rsidRPr="00E478AF" w:rsidRDefault="00D3007C" w:rsidP="00AF1B75">
            <w:pPr>
              <w:keepNext/>
              <w:keepLines/>
              <w:jc w:val="center"/>
              <w:rPr>
                <w:rFonts w:ascii="Arial" w:hAnsi="Arial" w:cs="Arial"/>
                <w:b/>
                <w:sz w:val="22"/>
                <w:szCs w:val="22"/>
              </w:rPr>
            </w:pPr>
            <w:r w:rsidRPr="00E478AF">
              <w:rPr>
                <w:rFonts w:ascii="Arial" w:hAnsi="Arial" w:cs="Arial"/>
                <w:b/>
                <w:sz w:val="22"/>
                <w:szCs w:val="22"/>
              </w:rPr>
              <w:t>Scenario</w:t>
            </w:r>
          </w:p>
        </w:tc>
        <w:tc>
          <w:tcPr>
            <w:tcW w:w="1771" w:type="dxa"/>
            <w:shd w:val="clear" w:color="auto" w:fill="DEEAF6" w:themeFill="accent1" w:themeFillTint="33"/>
            <w:vAlign w:val="center"/>
          </w:tcPr>
          <w:p w14:paraId="60BD9628" w14:textId="77777777" w:rsidR="00D3007C" w:rsidRPr="00E478AF" w:rsidRDefault="00D3007C" w:rsidP="00AF1B75">
            <w:pPr>
              <w:keepNext/>
              <w:keepLines/>
              <w:jc w:val="center"/>
              <w:rPr>
                <w:rFonts w:ascii="Arial" w:hAnsi="Arial" w:cs="Arial"/>
                <w:b/>
                <w:sz w:val="22"/>
                <w:szCs w:val="22"/>
              </w:rPr>
            </w:pPr>
            <w:r w:rsidRPr="00E478AF">
              <w:rPr>
                <w:rFonts w:ascii="Arial" w:hAnsi="Arial" w:cs="Arial"/>
                <w:b/>
                <w:sz w:val="22"/>
                <w:szCs w:val="22"/>
              </w:rPr>
              <w:t>Weather Year</w:t>
            </w:r>
          </w:p>
        </w:tc>
        <w:tc>
          <w:tcPr>
            <w:tcW w:w="1771" w:type="dxa"/>
            <w:shd w:val="clear" w:color="auto" w:fill="DEEAF6" w:themeFill="accent1" w:themeFillTint="33"/>
            <w:vAlign w:val="center"/>
          </w:tcPr>
          <w:p w14:paraId="64366CD9" w14:textId="77777777" w:rsidR="00D3007C" w:rsidRPr="00E478AF" w:rsidRDefault="00D3007C" w:rsidP="00AF1B75">
            <w:pPr>
              <w:keepNext/>
              <w:keepLines/>
              <w:jc w:val="center"/>
              <w:rPr>
                <w:rFonts w:ascii="Arial" w:hAnsi="Arial" w:cs="Arial"/>
                <w:b/>
                <w:sz w:val="22"/>
                <w:szCs w:val="22"/>
              </w:rPr>
            </w:pPr>
            <w:r w:rsidRPr="00E478AF">
              <w:rPr>
                <w:rFonts w:ascii="Arial" w:hAnsi="Arial" w:cs="Arial"/>
                <w:b/>
                <w:sz w:val="22"/>
                <w:szCs w:val="22"/>
              </w:rPr>
              <w:t>Reference Load (kW)</w:t>
            </w:r>
          </w:p>
        </w:tc>
        <w:tc>
          <w:tcPr>
            <w:tcW w:w="1771" w:type="dxa"/>
            <w:shd w:val="clear" w:color="auto" w:fill="DEEAF6" w:themeFill="accent1" w:themeFillTint="33"/>
            <w:vAlign w:val="center"/>
          </w:tcPr>
          <w:p w14:paraId="16FAA563" w14:textId="77777777" w:rsidR="00D3007C" w:rsidRPr="00E478AF" w:rsidRDefault="00D3007C" w:rsidP="00AF1B75">
            <w:pPr>
              <w:keepNext/>
              <w:keepLines/>
              <w:jc w:val="center"/>
              <w:rPr>
                <w:rFonts w:ascii="Arial" w:hAnsi="Arial" w:cs="Arial"/>
                <w:b/>
                <w:sz w:val="22"/>
                <w:szCs w:val="22"/>
              </w:rPr>
            </w:pPr>
            <w:r w:rsidRPr="00E478AF">
              <w:rPr>
                <w:rFonts w:ascii="Arial" w:hAnsi="Arial" w:cs="Arial"/>
                <w:b/>
                <w:sz w:val="22"/>
                <w:szCs w:val="22"/>
              </w:rPr>
              <w:t>Load Impact (kW)</w:t>
            </w:r>
          </w:p>
        </w:tc>
        <w:tc>
          <w:tcPr>
            <w:tcW w:w="1772" w:type="dxa"/>
            <w:shd w:val="clear" w:color="auto" w:fill="DEEAF6" w:themeFill="accent1" w:themeFillTint="33"/>
            <w:vAlign w:val="center"/>
          </w:tcPr>
          <w:p w14:paraId="28A797AA" w14:textId="77777777" w:rsidR="00D3007C" w:rsidRPr="00E478AF" w:rsidRDefault="00D3007C" w:rsidP="00AF1B75">
            <w:pPr>
              <w:keepNext/>
              <w:keepLines/>
              <w:jc w:val="center"/>
              <w:rPr>
                <w:rFonts w:ascii="Arial" w:hAnsi="Arial" w:cs="Arial"/>
                <w:b/>
                <w:sz w:val="22"/>
                <w:szCs w:val="22"/>
              </w:rPr>
            </w:pPr>
            <w:r w:rsidRPr="00E478AF">
              <w:rPr>
                <w:rFonts w:ascii="Arial" w:hAnsi="Arial" w:cs="Arial"/>
                <w:b/>
                <w:sz w:val="22"/>
                <w:szCs w:val="22"/>
              </w:rPr>
              <w:t>% Load Impact</w:t>
            </w:r>
          </w:p>
        </w:tc>
      </w:tr>
      <w:tr w:rsidR="00D3007C" w14:paraId="1075E7D6" w14:textId="77777777" w:rsidTr="00AF1B75">
        <w:tc>
          <w:tcPr>
            <w:tcW w:w="1771" w:type="dxa"/>
            <w:vMerge w:val="restart"/>
            <w:vAlign w:val="center"/>
          </w:tcPr>
          <w:p w14:paraId="754D6DF4" w14:textId="77777777" w:rsidR="00D3007C" w:rsidRPr="00E478AF" w:rsidRDefault="00D3007C" w:rsidP="00AF1B75">
            <w:pPr>
              <w:keepNext/>
              <w:keepLines/>
              <w:jc w:val="center"/>
              <w:rPr>
                <w:rFonts w:ascii="Arial" w:hAnsi="Arial" w:cs="Arial"/>
                <w:sz w:val="22"/>
                <w:szCs w:val="22"/>
              </w:rPr>
            </w:pPr>
            <w:r>
              <w:rPr>
                <w:rFonts w:ascii="Arial" w:hAnsi="Arial" w:cs="Arial"/>
                <w:sz w:val="22"/>
                <w:szCs w:val="22"/>
              </w:rPr>
              <w:t>Utility-specific</w:t>
            </w:r>
          </w:p>
        </w:tc>
        <w:tc>
          <w:tcPr>
            <w:tcW w:w="1771" w:type="dxa"/>
            <w:vAlign w:val="center"/>
          </w:tcPr>
          <w:p w14:paraId="368016E3" w14:textId="77777777" w:rsidR="00D3007C" w:rsidRPr="00E478AF" w:rsidRDefault="00D3007C" w:rsidP="00AF1B75">
            <w:pPr>
              <w:keepNext/>
              <w:keepLines/>
              <w:jc w:val="center"/>
              <w:rPr>
                <w:rFonts w:ascii="Arial" w:hAnsi="Arial" w:cs="Arial"/>
                <w:sz w:val="22"/>
                <w:szCs w:val="22"/>
              </w:rPr>
            </w:pPr>
            <w:r w:rsidRPr="00E478AF">
              <w:rPr>
                <w:rFonts w:ascii="Arial" w:hAnsi="Arial" w:cs="Arial"/>
                <w:sz w:val="22"/>
                <w:szCs w:val="22"/>
              </w:rPr>
              <w:t>1-in-2</w:t>
            </w:r>
          </w:p>
        </w:tc>
        <w:tc>
          <w:tcPr>
            <w:tcW w:w="1771" w:type="dxa"/>
            <w:vAlign w:val="center"/>
          </w:tcPr>
          <w:p w14:paraId="6AFAD602" w14:textId="1F5A3844" w:rsidR="00D3007C" w:rsidRPr="00E478AF" w:rsidRDefault="00561743" w:rsidP="00AF1B75">
            <w:pPr>
              <w:keepNext/>
              <w:keepLines/>
              <w:jc w:val="center"/>
              <w:rPr>
                <w:rFonts w:ascii="Arial" w:hAnsi="Arial" w:cs="Arial"/>
                <w:sz w:val="22"/>
                <w:szCs w:val="22"/>
              </w:rPr>
            </w:pPr>
            <w:r>
              <w:rPr>
                <w:rFonts w:ascii="Arial" w:hAnsi="Arial" w:cs="Arial"/>
                <w:sz w:val="22"/>
                <w:szCs w:val="22"/>
              </w:rPr>
              <w:t>1,419</w:t>
            </w:r>
          </w:p>
        </w:tc>
        <w:tc>
          <w:tcPr>
            <w:tcW w:w="1771" w:type="dxa"/>
            <w:vAlign w:val="center"/>
          </w:tcPr>
          <w:p w14:paraId="33F0F8DF" w14:textId="14B70D62" w:rsidR="00D3007C" w:rsidRPr="00E478AF" w:rsidRDefault="00561743" w:rsidP="00AF1B75">
            <w:pPr>
              <w:keepNext/>
              <w:keepLines/>
              <w:jc w:val="center"/>
              <w:rPr>
                <w:rFonts w:ascii="Arial" w:hAnsi="Arial" w:cs="Arial"/>
                <w:sz w:val="22"/>
                <w:szCs w:val="22"/>
              </w:rPr>
            </w:pPr>
            <w:r>
              <w:rPr>
                <w:rFonts w:ascii="Arial" w:hAnsi="Arial" w:cs="Arial"/>
                <w:sz w:val="22"/>
                <w:szCs w:val="22"/>
              </w:rPr>
              <w:t>1,152</w:t>
            </w:r>
          </w:p>
        </w:tc>
        <w:tc>
          <w:tcPr>
            <w:tcW w:w="1772" w:type="dxa"/>
            <w:vAlign w:val="center"/>
          </w:tcPr>
          <w:p w14:paraId="3E885D73" w14:textId="6BEB7DDE" w:rsidR="00D3007C" w:rsidRPr="00E478AF" w:rsidRDefault="00561743" w:rsidP="00561743">
            <w:pPr>
              <w:keepNext/>
              <w:keepLines/>
              <w:jc w:val="center"/>
              <w:rPr>
                <w:rFonts w:ascii="Arial" w:hAnsi="Arial" w:cs="Arial"/>
                <w:sz w:val="22"/>
                <w:szCs w:val="22"/>
              </w:rPr>
            </w:pPr>
            <w:r>
              <w:rPr>
                <w:rFonts w:ascii="Arial" w:hAnsi="Arial" w:cs="Arial"/>
                <w:sz w:val="22"/>
                <w:szCs w:val="22"/>
              </w:rPr>
              <w:t>81</w:t>
            </w:r>
            <w:r w:rsidR="00D3007C">
              <w:rPr>
                <w:rFonts w:ascii="Arial" w:hAnsi="Arial" w:cs="Arial"/>
                <w:sz w:val="22"/>
                <w:szCs w:val="22"/>
              </w:rPr>
              <w:t>.</w:t>
            </w:r>
            <w:r>
              <w:rPr>
                <w:rFonts w:ascii="Arial" w:hAnsi="Arial" w:cs="Arial"/>
                <w:sz w:val="22"/>
                <w:szCs w:val="22"/>
              </w:rPr>
              <w:t>2</w:t>
            </w:r>
            <w:r w:rsidR="00D3007C">
              <w:rPr>
                <w:rFonts w:ascii="Arial" w:hAnsi="Arial" w:cs="Arial"/>
                <w:sz w:val="22"/>
                <w:szCs w:val="22"/>
              </w:rPr>
              <w:t>%</w:t>
            </w:r>
          </w:p>
        </w:tc>
      </w:tr>
      <w:tr w:rsidR="00D3007C" w14:paraId="2D8AE291" w14:textId="77777777" w:rsidTr="00AF1B75">
        <w:tc>
          <w:tcPr>
            <w:tcW w:w="1771" w:type="dxa"/>
            <w:vMerge/>
            <w:vAlign w:val="center"/>
          </w:tcPr>
          <w:p w14:paraId="164BB52B" w14:textId="77777777" w:rsidR="00D3007C" w:rsidRPr="00E478AF" w:rsidRDefault="00D3007C" w:rsidP="00AF1B75">
            <w:pPr>
              <w:keepNext/>
              <w:keepLines/>
              <w:jc w:val="center"/>
              <w:rPr>
                <w:rFonts w:ascii="Arial" w:hAnsi="Arial" w:cs="Arial"/>
                <w:sz w:val="22"/>
                <w:szCs w:val="22"/>
              </w:rPr>
            </w:pPr>
          </w:p>
        </w:tc>
        <w:tc>
          <w:tcPr>
            <w:tcW w:w="1771" w:type="dxa"/>
            <w:vAlign w:val="center"/>
          </w:tcPr>
          <w:p w14:paraId="7171DD7A" w14:textId="77777777" w:rsidR="00D3007C" w:rsidRPr="00E478AF" w:rsidRDefault="00D3007C" w:rsidP="00AF1B75">
            <w:pPr>
              <w:keepNext/>
              <w:keepLines/>
              <w:jc w:val="center"/>
              <w:rPr>
                <w:rFonts w:ascii="Arial" w:hAnsi="Arial" w:cs="Arial"/>
                <w:sz w:val="22"/>
                <w:szCs w:val="22"/>
              </w:rPr>
            </w:pPr>
            <w:r w:rsidRPr="00E478AF">
              <w:rPr>
                <w:rFonts w:ascii="Arial" w:hAnsi="Arial" w:cs="Arial"/>
                <w:sz w:val="22"/>
                <w:szCs w:val="22"/>
              </w:rPr>
              <w:t>1-in-10</w:t>
            </w:r>
          </w:p>
        </w:tc>
        <w:tc>
          <w:tcPr>
            <w:tcW w:w="1771" w:type="dxa"/>
            <w:vAlign w:val="center"/>
          </w:tcPr>
          <w:p w14:paraId="384A8DA1" w14:textId="1CC4CAAE" w:rsidR="00D3007C" w:rsidRPr="00E478AF" w:rsidRDefault="00561743" w:rsidP="00AF1B75">
            <w:pPr>
              <w:keepNext/>
              <w:keepLines/>
              <w:jc w:val="center"/>
              <w:rPr>
                <w:rFonts w:ascii="Arial" w:hAnsi="Arial" w:cs="Arial"/>
                <w:sz w:val="22"/>
                <w:szCs w:val="22"/>
              </w:rPr>
            </w:pPr>
            <w:r>
              <w:rPr>
                <w:rFonts w:ascii="Arial" w:hAnsi="Arial" w:cs="Arial"/>
                <w:sz w:val="22"/>
                <w:szCs w:val="22"/>
              </w:rPr>
              <w:t>1,418</w:t>
            </w:r>
          </w:p>
        </w:tc>
        <w:tc>
          <w:tcPr>
            <w:tcW w:w="1771" w:type="dxa"/>
            <w:vAlign w:val="center"/>
          </w:tcPr>
          <w:p w14:paraId="1F281A27" w14:textId="3A7F143B" w:rsidR="00D3007C" w:rsidRPr="00E478AF" w:rsidRDefault="00561743" w:rsidP="00AF1B75">
            <w:pPr>
              <w:keepNext/>
              <w:keepLines/>
              <w:jc w:val="center"/>
              <w:rPr>
                <w:rFonts w:ascii="Arial" w:hAnsi="Arial" w:cs="Arial"/>
                <w:sz w:val="22"/>
                <w:szCs w:val="22"/>
              </w:rPr>
            </w:pPr>
            <w:r>
              <w:rPr>
                <w:rFonts w:ascii="Arial" w:hAnsi="Arial" w:cs="Arial"/>
                <w:sz w:val="22"/>
                <w:szCs w:val="22"/>
              </w:rPr>
              <w:t>1,150</w:t>
            </w:r>
          </w:p>
        </w:tc>
        <w:tc>
          <w:tcPr>
            <w:tcW w:w="1772" w:type="dxa"/>
            <w:vAlign w:val="center"/>
          </w:tcPr>
          <w:p w14:paraId="60801AA4" w14:textId="78D1ACFD" w:rsidR="00D3007C" w:rsidRPr="00E478AF" w:rsidRDefault="00561743" w:rsidP="00561743">
            <w:pPr>
              <w:keepNext/>
              <w:keepLines/>
              <w:jc w:val="center"/>
              <w:rPr>
                <w:rFonts w:ascii="Arial" w:hAnsi="Arial" w:cs="Arial"/>
                <w:sz w:val="22"/>
                <w:szCs w:val="22"/>
              </w:rPr>
            </w:pPr>
            <w:r>
              <w:rPr>
                <w:rFonts w:ascii="Arial" w:hAnsi="Arial" w:cs="Arial"/>
                <w:sz w:val="22"/>
                <w:szCs w:val="22"/>
              </w:rPr>
              <w:t>81</w:t>
            </w:r>
            <w:r w:rsidR="00D3007C">
              <w:rPr>
                <w:rFonts w:ascii="Arial" w:hAnsi="Arial" w:cs="Arial"/>
                <w:sz w:val="22"/>
                <w:szCs w:val="22"/>
              </w:rPr>
              <w:t>.</w:t>
            </w:r>
            <w:r>
              <w:rPr>
                <w:rFonts w:ascii="Arial" w:hAnsi="Arial" w:cs="Arial"/>
                <w:sz w:val="22"/>
                <w:szCs w:val="22"/>
              </w:rPr>
              <w:t>1</w:t>
            </w:r>
            <w:r w:rsidR="00D3007C">
              <w:rPr>
                <w:rFonts w:ascii="Arial" w:hAnsi="Arial" w:cs="Arial"/>
                <w:sz w:val="22"/>
                <w:szCs w:val="22"/>
              </w:rPr>
              <w:t>%</w:t>
            </w:r>
          </w:p>
        </w:tc>
      </w:tr>
      <w:tr w:rsidR="00D3007C" w14:paraId="587803E8" w14:textId="77777777" w:rsidTr="00AF1B75">
        <w:tc>
          <w:tcPr>
            <w:tcW w:w="1771" w:type="dxa"/>
            <w:vMerge w:val="restart"/>
            <w:vAlign w:val="center"/>
          </w:tcPr>
          <w:p w14:paraId="4422981C" w14:textId="77777777" w:rsidR="00D3007C" w:rsidRPr="00E478AF" w:rsidRDefault="00D3007C" w:rsidP="00AF1B75">
            <w:pPr>
              <w:keepNext/>
              <w:keepLines/>
              <w:jc w:val="center"/>
              <w:rPr>
                <w:rFonts w:ascii="Arial" w:hAnsi="Arial" w:cs="Arial"/>
                <w:sz w:val="22"/>
                <w:szCs w:val="22"/>
              </w:rPr>
            </w:pPr>
            <w:r>
              <w:rPr>
                <w:rFonts w:ascii="Arial" w:hAnsi="Arial" w:cs="Arial"/>
                <w:sz w:val="22"/>
                <w:szCs w:val="22"/>
              </w:rPr>
              <w:t>CAISO-coincident</w:t>
            </w:r>
          </w:p>
        </w:tc>
        <w:tc>
          <w:tcPr>
            <w:tcW w:w="1771" w:type="dxa"/>
            <w:vAlign w:val="center"/>
          </w:tcPr>
          <w:p w14:paraId="7E32564A" w14:textId="77777777" w:rsidR="00D3007C" w:rsidRPr="00E478AF" w:rsidRDefault="00D3007C" w:rsidP="00AF1B75">
            <w:pPr>
              <w:keepNext/>
              <w:keepLines/>
              <w:jc w:val="center"/>
              <w:rPr>
                <w:rFonts w:ascii="Arial" w:hAnsi="Arial" w:cs="Arial"/>
                <w:sz w:val="22"/>
                <w:szCs w:val="22"/>
              </w:rPr>
            </w:pPr>
            <w:r w:rsidRPr="00E478AF">
              <w:rPr>
                <w:rFonts w:ascii="Arial" w:hAnsi="Arial" w:cs="Arial"/>
                <w:sz w:val="22"/>
                <w:szCs w:val="22"/>
              </w:rPr>
              <w:t>1-in-2</w:t>
            </w:r>
          </w:p>
        </w:tc>
        <w:tc>
          <w:tcPr>
            <w:tcW w:w="1771" w:type="dxa"/>
            <w:vAlign w:val="center"/>
          </w:tcPr>
          <w:p w14:paraId="6C255934" w14:textId="3C2FB06C" w:rsidR="00D3007C" w:rsidRPr="00E478AF" w:rsidRDefault="00561743" w:rsidP="00AF1B75">
            <w:pPr>
              <w:keepNext/>
              <w:keepLines/>
              <w:jc w:val="center"/>
              <w:rPr>
                <w:rFonts w:ascii="Arial" w:hAnsi="Arial" w:cs="Arial"/>
                <w:sz w:val="22"/>
                <w:szCs w:val="22"/>
              </w:rPr>
            </w:pPr>
            <w:r>
              <w:rPr>
                <w:rFonts w:ascii="Arial" w:hAnsi="Arial" w:cs="Arial"/>
                <w:sz w:val="22"/>
                <w:szCs w:val="22"/>
              </w:rPr>
              <w:t>1,420</w:t>
            </w:r>
          </w:p>
        </w:tc>
        <w:tc>
          <w:tcPr>
            <w:tcW w:w="1771" w:type="dxa"/>
            <w:vAlign w:val="center"/>
          </w:tcPr>
          <w:p w14:paraId="6FDC17B3" w14:textId="2092E501" w:rsidR="00D3007C" w:rsidRPr="00E478AF" w:rsidRDefault="00561743" w:rsidP="00AF1B75">
            <w:pPr>
              <w:keepNext/>
              <w:keepLines/>
              <w:jc w:val="center"/>
              <w:rPr>
                <w:rFonts w:ascii="Arial" w:hAnsi="Arial" w:cs="Arial"/>
                <w:sz w:val="22"/>
                <w:szCs w:val="22"/>
              </w:rPr>
            </w:pPr>
            <w:r>
              <w:rPr>
                <w:rFonts w:ascii="Arial" w:hAnsi="Arial" w:cs="Arial"/>
                <w:sz w:val="22"/>
                <w:szCs w:val="22"/>
              </w:rPr>
              <w:t>1,153</w:t>
            </w:r>
          </w:p>
        </w:tc>
        <w:tc>
          <w:tcPr>
            <w:tcW w:w="1772" w:type="dxa"/>
            <w:vAlign w:val="center"/>
          </w:tcPr>
          <w:p w14:paraId="698618F3" w14:textId="25672D23" w:rsidR="00D3007C" w:rsidRPr="00E478AF" w:rsidRDefault="00561743" w:rsidP="00561743">
            <w:pPr>
              <w:keepNext/>
              <w:keepLines/>
              <w:jc w:val="center"/>
              <w:rPr>
                <w:rFonts w:ascii="Arial" w:hAnsi="Arial" w:cs="Arial"/>
                <w:sz w:val="22"/>
                <w:szCs w:val="22"/>
              </w:rPr>
            </w:pPr>
            <w:r>
              <w:rPr>
                <w:rFonts w:ascii="Arial" w:hAnsi="Arial" w:cs="Arial"/>
                <w:sz w:val="22"/>
                <w:szCs w:val="22"/>
              </w:rPr>
              <w:t>81</w:t>
            </w:r>
            <w:r w:rsidR="00D3007C">
              <w:rPr>
                <w:rFonts w:ascii="Arial" w:hAnsi="Arial" w:cs="Arial"/>
                <w:sz w:val="22"/>
                <w:szCs w:val="22"/>
              </w:rPr>
              <w:t>.</w:t>
            </w:r>
            <w:r>
              <w:rPr>
                <w:rFonts w:ascii="Arial" w:hAnsi="Arial" w:cs="Arial"/>
                <w:sz w:val="22"/>
                <w:szCs w:val="22"/>
              </w:rPr>
              <w:t>2</w:t>
            </w:r>
            <w:r w:rsidR="00D3007C">
              <w:rPr>
                <w:rFonts w:ascii="Arial" w:hAnsi="Arial" w:cs="Arial"/>
                <w:sz w:val="22"/>
                <w:szCs w:val="22"/>
              </w:rPr>
              <w:t>%</w:t>
            </w:r>
          </w:p>
        </w:tc>
      </w:tr>
      <w:tr w:rsidR="00D3007C" w14:paraId="3067173D" w14:textId="77777777" w:rsidTr="00AF1B75">
        <w:tc>
          <w:tcPr>
            <w:tcW w:w="1771" w:type="dxa"/>
            <w:vMerge/>
            <w:vAlign w:val="center"/>
          </w:tcPr>
          <w:p w14:paraId="0F3ACF20" w14:textId="77777777" w:rsidR="00D3007C" w:rsidRPr="00E478AF" w:rsidRDefault="00D3007C" w:rsidP="00AF1B75">
            <w:pPr>
              <w:keepNext/>
              <w:keepLines/>
              <w:jc w:val="center"/>
              <w:rPr>
                <w:rFonts w:ascii="Arial" w:hAnsi="Arial" w:cs="Arial"/>
                <w:sz w:val="22"/>
                <w:szCs w:val="22"/>
              </w:rPr>
            </w:pPr>
          </w:p>
        </w:tc>
        <w:tc>
          <w:tcPr>
            <w:tcW w:w="1771" w:type="dxa"/>
            <w:vAlign w:val="center"/>
          </w:tcPr>
          <w:p w14:paraId="5E28AB0E" w14:textId="77777777" w:rsidR="00D3007C" w:rsidRPr="00E478AF" w:rsidRDefault="00D3007C" w:rsidP="00AF1B75">
            <w:pPr>
              <w:keepNext/>
              <w:keepLines/>
              <w:jc w:val="center"/>
              <w:rPr>
                <w:rFonts w:ascii="Arial" w:hAnsi="Arial" w:cs="Arial"/>
                <w:sz w:val="22"/>
                <w:szCs w:val="22"/>
              </w:rPr>
            </w:pPr>
            <w:r w:rsidRPr="00E478AF">
              <w:rPr>
                <w:rFonts w:ascii="Arial" w:hAnsi="Arial" w:cs="Arial"/>
                <w:sz w:val="22"/>
                <w:szCs w:val="22"/>
              </w:rPr>
              <w:t>1-in-10</w:t>
            </w:r>
          </w:p>
        </w:tc>
        <w:tc>
          <w:tcPr>
            <w:tcW w:w="1771" w:type="dxa"/>
            <w:vAlign w:val="center"/>
          </w:tcPr>
          <w:p w14:paraId="59372D46" w14:textId="4B14B09E" w:rsidR="00D3007C" w:rsidRPr="00E478AF" w:rsidRDefault="00561743" w:rsidP="00AF1B75">
            <w:pPr>
              <w:keepNext/>
              <w:keepLines/>
              <w:jc w:val="center"/>
              <w:rPr>
                <w:rFonts w:ascii="Arial" w:hAnsi="Arial" w:cs="Arial"/>
                <w:sz w:val="22"/>
                <w:szCs w:val="22"/>
              </w:rPr>
            </w:pPr>
            <w:r>
              <w:rPr>
                <w:rFonts w:ascii="Arial" w:hAnsi="Arial" w:cs="Arial"/>
                <w:sz w:val="22"/>
                <w:szCs w:val="22"/>
              </w:rPr>
              <w:t>1,419</w:t>
            </w:r>
          </w:p>
        </w:tc>
        <w:tc>
          <w:tcPr>
            <w:tcW w:w="1771" w:type="dxa"/>
            <w:vAlign w:val="center"/>
          </w:tcPr>
          <w:p w14:paraId="34D0B391" w14:textId="7D90CE89" w:rsidR="00D3007C" w:rsidRPr="00E478AF" w:rsidRDefault="00561743" w:rsidP="00AF1B75">
            <w:pPr>
              <w:keepNext/>
              <w:keepLines/>
              <w:jc w:val="center"/>
              <w:rPr>
                <w:rFonts w:ascii="Arial" w:hAnsi="Arial" w:cs="Arial"/>
                <w:sz w:val="22"/>
                <w:szCs w:val="22"/>
              </w:rPr>
            </w:pPr>
            <w:r>
              <w:rPr>
                <w:rFonts w:ascii="Arial" w:hAnsi="Arial" w:cs="Arial"/>
                <w:sz w:val="22"/>
                <w:szCs w:val="22"/>
              </w:rPr>
              <w:t>1,152</w:t>
            </w:r>
          </w:p>
        </w:tc>
        <w:tc>
          <w:tcPr>
            <w:tcW w:w="1772" w:type="dxa"/>
            <w:vAlign w:val="center"/>
          </w:tcPr>
          <w:p w14:paraId="4585930C" w14:textId="19AB9872" w:rsidR="00D3007C" w:rsidRPr="00E478AF" w:rsidRDefault="00561743" w:rsidP="00561743">
            <w:pPr>
              <w:keepNext/>
              <w:keepLines/>
              <w:jc w:val="center"/>
              <w:rPr>
                <w:rFonts w:ascii="Arial" w:hAnsi="Arial" w:cs="Arial"/>
                <w:sz w:val="22"/>
                <w:szCs w:val="22"/>
              </w:rPr>
            </w:pPr>
            <w:r>
              <w:rPr>
                <w:rFonts w:ascii="Arial" w:hAnsi="Arial" w:cs="Arial"/>
                <w:sz w:val="22"/>
                <w:szCs w:val="22"/>
              </w:rPr>
              <w:t>81</w:t>
            </w:r>
            <w:r w:rsidR="00D3007C">
              <w:rPr>
                <w:rFonts w:ascii="Arial" w:hAnsi="Arial" w:cs="Arial"/>
                <w:sz w:val="22"/>
                <w:szCs w:val="22"/>
              </w:rPr>
              <w:t>.</w:t>
            </w:r>
            <w:r>
              <w:rPr>
                <w:rFonts w:ascii="Arial" w:hAnsi="Arial" w:cs="Arial"/>
                <w:sz w:val="22"/>
                <w:szCs w:val="22"/>
              </w:rPr>
              <w:t>2</w:t>
            </w:r>
            <w:r w:rsidR="00D3007C">
              <w:rPr>
                <w:rFonts w:ascii="Arial" w:hAnsi="Arial" w:cs="Arial"/>
                <w:sz w:val="22"/>
                <w:szCs w:val="22"/>
              </w:rPr>
              <w:t>%</w:t>
            </w:r>
          </w:p>
        </w:tc>
      </w:tr>
    </w:tbl>
    <w:p w14:paraId="7F38154E" w14:textId="77777777" w:rsidR="00D3007C" w:rsidRDefault="00D3007C" w:rsidP="008F77E6"/>
    <w:p w14:paraId="4D565A1C" w14:textId="77777777" w:rsidR="003E718A" w:rsidRPr="007E650A" w:rsidRDefault="003E718A" w:rsidP="003E718A">
      <w:pPr>
        <w:pStyle w:val="Heading3"/>
        <w:rPr>
          <w:sz w:val="22"/>
        </w:rPr>
      </w:pPr>
      <w:bookmarkStart w:id="192" w:name="_Toc415488973"/>
      <w:r>
        <w:rPr>
          <w:sz w:val="22"/>
        </w:rPr>
        <w:t>5</w:t>
      </w:r>
      <w:r w:rsidRPr="000334AA">
        <w:rPr>
          <w:sz w:val="22"/>
        </w:rPr>
        <w:t>.4.3 SDG&amp;E</w:t>
      </w:r>
      <w:bookmarkEnd w:id="185"/>
      <w:bookmarkEnd w:id="192"/>
    </w:p>
    <w:bookmarkEnd w:id="186"/>
    <w:p w14:paraId="52375B5A" w14:textId="4FB09DBB" w:rsidR="00A20B16" w:rsidRDefault="00A20B16" w:rsidP="00A20B16">
      <w:r>
        <w:t>SDG&amp;E’s enrollment forecast assumes that the number of customers remains constant (at PY2014 levels) throughout the forecast period. Therefore, we do not have any variation across years to illustrate. Because our ex post estimates were very different for the non-summer event (on February 6, 2014) than the summer events (we use May 16, 2014 as the basis of the summer ex ante load impacts), we differentiate the ex ante load impacts by season accordingly.</w:t>
      </w:r>
    </w:p>
    <w:p w14:paraId="2F1313D0" w14:textId="77777777" w:rsidR="00A20B16" w:rsidRDefault="00A20B16" w:rsidP="00A20B16"/>
    <w:p w14:paraId="6728DB1C" w14:textId="4321FB8E" w:rsidR="00A20B16" w:rsidRDefault="00A20B16" w:rsidP="00A20B16">
      <w:r w:rsidRPr="00363C63">
        <w:t xml:space="preserve">Figure </w:t>
      </w:r>
      <w:r w:rsidR="00B47CA3" w:rsidRPr="00363C63">
        <w:t>5.9</w:t>
      </w:r>
      <w:r w:rsidRPr="00363C63">
        <w:t xml:space="preserve"> shows</w:t>
      </w:r>
      <w:r>
        <w:t xml:space="preserve"> the forecast load impacts for a typical event day (which is assumed to be in August) in a utility-specific 1-in-2 weather year. Event-hour (1:00 to 6:00 p.m.) load impacts average </w:t>
      </w:r>
      <w:r w:rsidR="00B44B37">
        <w:t xml:space="preserve">1.4 </w:t>
      </w:r>
      <w:r>
        <w:t xml:space="preserve">MW, which represents </w:t>
      </w:r>
      <w:r w:rsidR="00B44B37">
        <w:t>44.8</w:t>
      </w:r>
      <w:r>
        <w:t xml:space="preserve"> percent of the enrolled reference load. The program-level FSL is </w:t>
      </w:r>
      <w:r w:rsidR="00B44B37">
        <w:t>1</w:t>
      </w:r>
      <w:r>
        <w:t xml:space="preserve">.5 MW, compared to the average event-hour program load of </w:t>
      </w:r>
      <w:r w:rsidR="00B44B37">
        <w:t>1.8 MW. This under</w:t>
      </w:r>
      <w:r>
        <w:t xml:space="preserve">-performance at the program level is consistent with our estimates for the </w:t>
      </w:r>
      <w:r w:rsidR="00B44B37">
        <w:t>May 16</w:t>
      </w:r>
      <w:r>
        <w:t>, 2014 event day that serves as the basis for the ex ante load impacts.</w:t>
      </w:r>
      <w:r w:rsidR="00B44B37">
        <w:t xml:space="preserve"> Note that in this case, the underperformance is limited to the first event hour, which is consistent with the estimates for the ex post event.</w:t>
      </w:r>
    </w:p>
    <w:p w14:paraId="256AC0DA" w14:textId="77777777" w:rsidR="00A20B16" w:rsidRDefault="00A20B16" w:rsidP="00A20B16"/>
    <w:p w14:paraId="0B753275" w14:textId="0B20F278" w:rsidR="00A20B16" w:rsidRPr="0097115E" w:rsidRDefault="00A20B16" w:rsidP="00A20B16">
      <w:pPr>
        <w:pStyle w:val="FigureCaption"/>
        <w:keepNext/>
        <w:keepLines/>
      </w:pPr>
      <w:bookmarkStart w:id="193" w:name="_Toc415489065"/>
      <w:r w:rsidRPr="00363C63">
        <w:t xml:space="preserve">Figure </w:t>
      </w:r>
      <w:r w:rsidR="00B93C09" w:rsidRPr="00363C63">
        <w:t>5.9</w:t>
      </w:r>
      <w:r w:rsidRPr="00363C63">
        <w:t>: SDG</w:t>
      </w:r>
      <w:r w:rsidRPr="0097115E">
        <w:t xml:space="preserve">&amp;E Hourly Event Day Load Impacts for the Typical Event Day in a </w:t>
      </w:r>
      <w:r>
        <w:t xml:space="preserve">Utility-Specific </w:t>
      </w:r>
      <w:r w:rsidRPr="0097115E">
        <w:t>1-in-2 Weather Year for August</w:t>
      </w:r>
      <w:bookmarkEnd w:id="193"/>
    </w:p>
    <w:p w14:paraId="2A1D5C04" w14:textId="7E8096D0" w:rsidR="00A20B16" w:rsidRPr="00AD1AB7" w:rsidRDefault="00AA705F" w:rsidP="00A20B16">
      <w:pPr>
        <w:keepNext/>
        <w:keepLines/>
        <w:spacing w:after="120"/>
        <w:jc w:val="center"/>
      </w:pPr>
      <w:r w:rsidRPr="005D4700">
        <w:t>These results have been removed due to confidentiality concerns.</w:t>
      </w:r>
    </w:p>
    <w:p w14:paraId="435FD10E" w14:textId="77777777" w:rsidR="00A20B16" w:rsidRDefault="00A20B16" w:rsidP="00A20B16"/>
    <w:p w14:paraId="4DE3EA7D" w14:textId="764150E6" w:rsidR="00A20B16" w:rsidRDefault="00A12FE8" w:rsidP="00A20B16">
      <w:r>
        <w:t>Figure 5.10</w:t>
      </w:r>
      <w:r w:rsidR="00A20B16">
        <w:t xml:space="preserve"> shows the </w:t>
      </w:r>
      <w:r w:rsidR="00B44B37">
        <w:t xml:space="preserve">hourly reference loads, observed loads, and load impacts for the February peak day </w:t>
      </w:r>
      <w:r w:rsidR="00A20B16">
        <w:t xml:space="preserve">in a utility-specific 1-in-2 weather year. </w:t>
      </w:r>
      <w:r w:rsidR="00852E76">
        <w:t>Event-hour (4:00 to 9:00 p.m.) load impacts average 0.2 MW, which represents 9.7 percent of the enrolled reference load. The average event-hour program load of 1.4 MW is less than the aggregate FSL of 1.5 MW. Therefore, the low load impacts may be explained by the fact that the program load was already low relative to the FSL, such that customers did not need to reduce their load to meet their BIP obligations (at least in the later event hours).</w:t>
      </w:r>
    </w:p>
    <w:p w14:paraId="3BA7A689" w14:textId="77777777" w:rsidR="00A20B16" w:rsidRDefault="00A20B16" w:rsidP="00A20B16"/>
    <w:p w14:paraId="29ACA98B" w14:textId="477E39D4" w:rsidR="00A20B16" w:rsidRPr="0097115E" w:rsidRDefault="00A20B16" w:rsidP="00A20B16">
      <w:pPr>
        <w:pStyle w:val="FigureCaption"/>
        <w:keepNext/>
        <w:keepLines/>
      </w:pPr>
      <w:bookmarkStart w:id="194" w:name="_Toc415489066"/>
      <w:r w:rsidRPr="0097115E">
        <w:t xml:space="preserve">Figure </w:t>
      </w:r>
      <w:r w:rsidR="00A12FE8" w:rsidRPr="00363C63">
        <w:t>5.10</w:t>
      </w:r>
      <w:r w:rsidRPr="00363C63">
        <w:t xml:space="preserve">: </w:t>
      </w:r>
      <w:r w:rsidR="00B44B37" w:rsidRPr="00363C63">
        <w:t>SDG</w:t>
      </w:r>
      <w:r w:rsidR="00B44B37" w:rsidRPr="0097115E">
        <w:t xml:space="preserve">&amp;E Hourly Event Day Load Impacts for the </w:t>
      </w:r>
      <w:r w:rsidR="00B44B37">
        <w:t>February Peak Day</w:t>
      </w:r>
      <w:r w:rsidR="00B44B37" w:rsidRPr="0097115E">
        <w:t xml:space="preserve"> in a </w:t>
      </w:r>
      <w:r w:rsidR="00B44B37">
        <w:t>Utility-Specific 1-in-2 Weather Year</w:t>
      </w:r>
      <w:bookmarkEnd w:id="194"/>
    </w:p>
    <w:p w14:paraId="5FF0EFD1" w14:textId="3290E9DE" w:rsidR="00A20B16" w:rsidRPr="00AD1AB7" w:rsidRDefault="00AA705F" w:rsidP="00A20B16">
      <w:pPr>
        <w:keepNext/>
        <w:keepLines/>
        <w:jc w:val="center"/>
      </w:pPr>
      <w:r w:rsidRPr="005D4700">
        <w:t>These results have been removed due to confidentiality concerns.</w:t>
      </w:r>
    </w:p>
    <w:p w14:paraId="392D1937" w14:textId="77777777" w:rsidR="00A20B16" w:rsidRPr="00A22D9A" w:rsidRDefault="00A20B16" w:rsidP="00A20B16">
      <w:pPr>
        <w:keepNext/>
        <w:keepLines/>
        <w:jc w:val="center"/>
      </w:pPr>
    </w:p>
    <w:p w14:paraId="69934C2B" w14:textId="77777777" w:rsidR="00A20B16" w:rsidRDefault="00A20B16" w:rsidP="00A20B16"/>
    <w:p w14:paraId="33DD0157" w14:textId="0209541B" w:rsidR="00A20B16" w:rsidRDefault="00A20B16" w:rsidP="00A20B16">
      <w:r w:rsidRPr="00363C63">
        <w:t>Table 5.</w:t>
      </w:r>
      <w:r w:rsidR="00A12FE8" w:rsidRPr="00363C63">
        <w:t>4</w:t>
      </w:r>
      <w:r>
        <w:t xml:space="preserve"> shows the per-customer reference loads and loa</w:t>
      </w:r>
      <w:r w:rsidR="00A12FE8">
        <w:t>d impacts by weather year (1-in</w:t>
      </w:r>
      <w:r>
        <w:t>-2 and 1-in-10 for both utility-specific and CAISO-coincident</w:t>
      </w:r>
      <w:r w:rsidR="00A00D81">
        <w:t xml:space="preserve"> peak conditions) for the</w:t>
      </w:r>
      <w:r>
        <w:t xml:space="preserve"> </w:t>
      </w:r>
      <w:r w:rsidR="00A12FE8">
        <w:t xml:space="preserve">2015 </w:t>
      </w:r>
      <w:r w:rsidR="00D1417B">
        <w:t>t</w:t>
      </w:r>
      <w:r w:rsidR="00A00D81">
        <w:t xml:space="preserve">ypical </w:t>
      </w:r>
      <w:r w:rsidR="00D1417B">
        <w:t>e</w:t>
      </w:r>
      <w:r w:rsidR="00A00D81">
        <w:t xml:space="preserve">vent </w:t>
      </w:r>
      <w:r w:rsidR="00D1417B">
        <w:t>d</w:t>
      </w:r>
      <w:r w:rsidR="00A00D81">
        <w:t>ay</w:t>
      </w:r>
      <w:r>
        <w:t>.</w:t>
      </w:r>
      <w:r w:rsidR="00852E76">
        <w:t xml:space="preserve"> The lack of variation across scenarios indicates that the reference loads (and therefore the load impacts) are not very sensitive to weather conditions.</w:t>
      </w:r>
      <w:r w:rsidR="00675879">
        <w:t xml:space="preserve"> Note that the contents of the table have been removed due to confidentiality concerns.</w:t>
      </w:r>
    </w:p>
    <w:p w14:paraId="6B038B71" w14:textId="77777777" w:rsidR="00675879" w:rsidRDefault="00675879" w:rsidP="00A20B16"/>
    <w:p w14:paraId="40893C53" w14:textId="3DC2589C" w:rsidR="00A20B16" w:rsidRDefault="00A20B16" w:rsidP="00A20B16">
      <w:pPr>
        <w:pStyle w:val="TableCaption"/>
        <w:keepNext/>
        <w:keepLines/>
      </w:pPr>
      <w:bookmarkStart w:id="195" w:name="_Toc415489024"/>
      <w:r>
        <w:t>Table 5.</w:t>
      </w:r>
      <w:r w:rsidR="00F1414D">
        <w:t>4</w:t>
      </w:r>
      <w:r>
        <w:t xml:space="preserve">: Per-customer Ex Ante Load Impacts, </w:t>
      </w:r>
      <w:r w:rsidR="00B44B37">
        <w:rPr>
          <w:i/>
        </w:rPr>
        <w:t>SD</w:t>
      </w:r>
      <w:r w:rsidRPr="00624938">
        <w:rPr>
          <w:i/>
        </w:rPr>
        <w:t>G&amp;E</w:t>
      </w:r>
      <w:bookmarkEnd w:id="195"/>
    </w:p>
    <w:tbl>
      <w:tblPr>
        <w:tblStyle w:val="TableGrid"/>
        <w:tblW w:w="0" w:type="auto"/>
        <w:tblLook w:val="04A0" w:firstRow="1" w:lastRow="0" w:firstColumn="1" w:lastColumn="0" w:noHBand="0" w:noVBand="1"/>
      </w:tblPr>
      <w:tblGrid>
        <w:gridCol w:w="1771"/>
        <w:gridCol w:w="1771"/>
        <w:gridCol w:w="1771"/>
        <w:gridCol w:w="1771"/>
        <w:gridCol w:w="1772"/>
      </w:tblGrid>
      <w:tr w:rsidR="00A20B16" w14:paraId="543AB52E" w14:textId="77777777" w:rsidTr="00173834">
        <w:tc>
          <w:tcPr>
            <w:tcW w:w="1771" w:type="dxa"/>
            <w:shd w:val="clear" w:color="auto" w:fill="DEEAF6" w:themeFill="accent1" w:themeFillTint="33"/>
            <w:vAlign w:val="center"/>
          </w:tcPr>
          <w:p w14:paraId="6BDC0E32" w14:textId="77777777" w:rsidR="00A20B16" w:rsidRPr="00E478AF" w:rsidRDefault="00A20B16" w:rsidP="00173834">
            <w:pPr>
              <w:keepNext/>
              <w:keepLines/>
              <w:jc w:val="center"/>
              <w:rPr>
                <w:rFonts w:ascii="Arial" w:hAnsi="Arial" w:cs="Arial"/>
                <w:b/>
                <w:sz w:val="22"/>
                <w:szCs w:val="22"/>
              </w:rPr>
            </w:pPr>
            <w:r w:rsidRPr="00E478AF">
              <w:rPr>
                <w:rFonts w:ascii="Arial" w:hAnsi="Arial" w:cs="Arial"/>
                <w:b/>
                <w:sz w:val="22"/>
                <w:szCs w:val="22"/>
              </w:rPr>
              <w:t>Scenario</w:t>
            </w:r>
          </w:p>
        </w:tc>
        <w:tc>
          <w:tcPr>
            <w:tcW w:w="1771" w:type="dxa"/>
            <w:shd w:val="clear" w:color="auto" w:fill="DEEAF6" w:themeFill="accent1" w:themeFillTint="33"/>
            <w:vAlign w:val="center"/>
          </w:tcPr>
          <w:p w14:paraId="74199064" w14:textId="77777777" w:rsidR="00A20B16" w:rsidRPr="00E478AF" w:rsidRDefault="00A20B16" w:rsidP="00173834">
            <w:pPr>
              <w:keepNext/>
              <w:keepLines/>
              <w:jc w:val="center"/>
              <w:rPr>
                <w:rFonts w:ascii="Arial" w:hAnsi="Arial" w:cs="Arial"/>
                <w:b/>
                <w:sz w:val="22"/>
                <w:szCs w:val="22"/>
              </w:rPr>
            </w:pPr>
            <w:r w:rsidRPr="00E478AF">
              <w:rPr>
                <w:rFonts w:ascii="Arial" w:hAnsi="Arial" w:cs="Arial"/>
                <w:b/>
                <w:sz w:val="22"/>
                <w:szCs w:val="22"/>
              </w:rPr>
              <w:t>Weather Year</w:t>
            </w:r>
          </w:p>
        </w:tc>
        <w:tc>
          <w:tcPr>
            <w:tcW w:w="1771" w:type="dxa"/>
            <w:shd w:val="clear" w:color="auto" w:fill="DEEAF6" w:themeFill="accent1" w:themeFillTint="33"/>
            <w:vAlign w:val="center"/>
          </w:tcPr>
          <w:p w14:paraId="13C552D4" w14:textId="77777777" w:rsidR="00A20B16" w:rsidRPr="00E478AF" w:rsidRDefault="00A20B16" w:rsidP="00173834">
            <w:pPr>
              <w:keepNext/>
              <w:keepLines/>
              <w:jc w:val="center"/>
              <w:rPr>
                <w:rFonts w:ascii="Arial" w:hAnsi="Arial" w:cs="Arial"/>
                <w:b/>
                <w:sz w:val="22"/>
                <w:szCs w:val="22"/>
              </w:rPr>
            </w:pPr>
            <w:r w:rsidRPr="00E478AF">
              <w:rPr>
                <w:rFonts w:ascii="Arial" w:hAnsi="Arial" w:cs="Arial"/>
                <w:b/>
                <w:sz w:val="22"/>
                <w:szCs w:val="22"/>
              </w:rPr>
              <w:t>Reference Load (kW)</w:t>
            </w:r>
          </w:p>
        </w:tc>
        <w:tc>
          <w:tcPr>
            <w:tcW w:w="1771" w:type="dxa"/>
            <w:shd w:val="clear" w:color="auto" w:fill="DEEAF6" w:themeFill="accent1" w:themeFillTint="33"/>
            <w:vAlign w:val="center"/>
          </w:tcPr>
          <w:p w14:paraId="1407444B" w14:textId="77777777" w:rsidR="00A20B16" w:rsidRPr="00E478AF" w:rsidRDefault="00A20B16" w:rsidP="00173834">
            <w:pPr>
              <w:keepNext/>
              <w:keepLines/>
              <w:jc w:val="center"/>
              <w:rPr>
                <w:rFonts w:ascii="Arial" w:hAnsi="Arial" w:cs="Arial"/>
                <w:b/>
                <w:sz w:val="22"/>
                <w:szCs w:val="22"/>
              </w:rPr>
            </w:pPr>
            <w:r w:rsidRPr="00E478AF">
              <w:rPr>
                <w:rFonts w:ascii="Arial" w:hAnsi="Arial" w:cs="Arial"/>
                <w:b/>
                <w:sz w:val="22"/>
                <w:szCs w:val="22"/>
              </w:rPr>
              <w:t>Load Impact (kW)</w:t>
            </w:r>
          </w:p>
        </w:tc>
        <w:tc>
          <w:tcPr>
            <w:tcW w:w="1772" w:type="dxa"/>
            <w:shd w:val="clear" w:color="auto" w:fill="DEEAF6" w:themeFill="accent1" w:themeFillTint="33"/>
            <w:vAlign w:val="center"/>
          </w:tcPr>
          <w:p w14:paraId="75D3AA57" w14:textId="77777777" w:rsidR="00A20B16" w:rsidRPr="00E478AF" w:rsidRDefault="00A20B16" w:rsidP="00173834">
            <w:pPr>
              <w:keepNext/>
              <w:keepLines/>
              <w:jc w:val="center"/>
              <w:rPr>
                <w:rFonts w:ascii="Arial" w:hAnsi="Arial" w:cs="Arial"/>
                <w:b/>
                <w:sz w:val="22"/>
                <w:szCs w:val="22"/>
              </w:rPr>
            </w:pPr>
            <w:r w:rsidRPr="00E478AF">
              <w:rPr>
                <w:rFonts w:ascii="Arial" w:hAnsi="Arial" w:cs="Arial"/>
                <w:b/>
                <w:sz w:val="22"/>
                <w:szCs w:val="22"/>
              </w:rPr>
              <w:t>% Load Impact</w:t>
            </w:r>
          </w:p>
        </w:tc>
      </w:tr>
      <w:tr w:rsidR="00A20B16" w14:paraId="179FB3B9" w14:textId="77777777" w:rsidTr="00173834">
        <w:tc>
          <w:tcPr>
            <w:tcW w:w="1771" w:type="dxa"/>
            <w:vMerge w:val="restart"/>
            <w:vAlign w:val="center"/>
          </w:tcPr>
          <w:p w14:paraId="6B457D00" w14:textId="77777777" w:rsidR="00A20B16" w:rsidRPr="00E478AF" w:rsidRDefault="00A20B16" w:rsidP="00173834">
            <w:pPr>
              <w:keepNext/>
              <w:keepLines/>
              <w:jc w:val="center"/>
              <w:rPr>
                <w:rFonts w:ascii="Arial" w:hAnsi="Arial" w:cs="Arial"/>
                <w:sz w:val="22"/>
                <w:szCs w:val="22"/>
              </w:rPr>
            </w:pPr>
            <w:r>
              <w:rPr>
                <w:rFonts w:ascii="Arial" w:hAnsi="Arial" w:cs="Arial"/>
                <w:sz w:val="22"/>
                <w:szCs w:val="22"/>
              </w:rPr>
              <w:t>Utility-specific</w:t>
            </w:r>
          </w:p>
        </w:tc>
        <w:tc>
          <w:tcPr>
            <w:tcW w:w="1771" w:type="dxa"/>
            <w:vAlign w:val="center"/>
          </w:tcPr>
          <w:p w14:paraId="63D95A4A" w14:textId="77777777" w:rsidR="00A20B16" w:rsidRPr="00E478AF" w:rsidRDefault="00A20B16" w:rsidP="00173834">
            <w:pPr>
              <w:keepNext/>
              <w:keepLines/>
              <w:jc w:val="center"/>
              <w:rPr>
                <w:rFonts w:ascii="Arial" w:hAnsi="Arial" w:cs="Arial"/>
                <w:sz w:val="22"/>
                <w:szCs w:val="22"/>
              </w:rPr>
            </w:pPr>
            <w:r w:rsidRPr="00E478AF">
              <w:rPr>
                <w:rFonts w:ascii="Arial" w:hAnsi="Arial" w:cs="Arial"/>
                <w:sz w:val="22"/>
                <w:szCs w:val="22"/>
              </w:rPr>
              <w:t>1-in-2</w:t>
            </w:r>
          </w:p>
        </w:tc>
        <w:tc>
          <w:tcPr>
            <w:tcW w:w="1771" w:type="dxa"/>
            <w:vAlign w:val="center"/>
          </w:tcPr>
          <w:p w14:paraId="2469BB4D" w14:textId="5E8DF165" w:rsidR="00A20B16" w:rsidRPr="00E478AF" w:rsidRDefault="00A20B16" w:rsidP="00173834">
            <w:pPr>
              <w:keepNext/>
              <w:keepLines/>
              <w:jc w:val="center"/>
              <w:rPr>
                <w:rFonts w:ascii="Arial" w:hAnsi="Arial" w:cs="Arial"/>
                <w:sz w:val="22"/>
                <w:szCs w:val="22"/>
              </w:rPr>
            </w:pPr>
          </w:p>
        </w:tc>
        <w:tc>
          <w:tcPr>
            <w:tcW w:w="1771" w:type="dxa"/>
            <w:vAlign w:val="center"/>
          </w:tcPr>
          <w:p w14:paraId="07433A77" w14:textId="342A871B" w:rsidR="00A20B16" w:rsidRPr="00E478AF" w:rsidRDefault="00A20B16" w:rsidP="00173834">
            <w:pPr>
              <w:keepNext/>
              <w:keepLines/>
              <w:jc w:val="center"/>
              <w:rPr>
                <w:rFonts w:ascii="Arial" w:hAnsi="Arial" w:cs="Arial"/>
                <w:sz w:val="22"/>
                <w:szCs w:val="22"/>
              </w:rPr>
            </w:pPr>
          </w:p>
        </w:tc>
        <w:tc>
          <w:tcPr>
            <w:tcW w:w="1772" w:type="dxa"/>
            <w:vAlign w:val="center"/>
          </w:tcPr>
          <w:p w14:paraId="39269144" w14:textId="553D852A" w:rsidR="00A20B16" w:rsidRPr="00E478AF" w:rsidRDefault="00A20B16" w:rsidP="00173834">
            <w:pPr>
              <w:keepNext/>
              <w:keepLines/>
              <w:jc w:val="center"/>
              <w:rPr>
                <w:rFonts w:ascii="Arial" w:hAnsi="Arial" w:cs="Arial"/>
                <w:sz w:val="22"/>
                <w:szCs w:val="22"/>
              </w:rPr>
            </w:pPr>
          </w:p>
        </w:tc>
      </w:tr>
      <w:tr w:rsidR="00A20B16" w14:paraId="47E806D5" w14:textId="77777777" w:rsidTr="00173834">
        <w:tc>
          <w:tcPr>
            <w:tcW w:w="1771" w:type="dxa"/>
            <w:vMerge/>
            <w:vAlign w:val="center"/>
          </w:tcPr>
          <w:p w14:paraId="64BE87C3" w14:textId="77777777" w:rsidR="00A20B16" w:rsidRPr="00E478AF" w:rsidRDefault="00A20B16" w:rsidP="00173834">
            <w:pPr>
              <w:keepNext/>
              <w:keepLines/>
              <w:jc w:val="center"/>
              <w:rPr>
                <w:rFonts w:ascii="Arial" w:hAnsi="Arial" w:cs="Arial"/>
                <w:sz w:val="22"/>
                <w:szCs w:val="22"/>
              </w:rPr>
            </w:pPr>
          </w:p>
        </w:tc>
        <w:tc>
          <w:tcPr>
            <w:tcW w:w="1771" w:type="dxa"/>
            <w:vAlign w:val="center"/>
          </w:tcPr>
          <w:p w14:paraId="7C6B2F95" w14:textId="77777777" w:rsidR="00A20B16" w:rsidRPr="00E478AF" w:rsidRDefault="00A20B16" w:rsidP="00173834">
            <w:pPr>
              <w:keepNext/>
              <w:keepLines/>
              <w:jc w:val="center"/>
              <w:rPr>
                <w:rFonts w:ascii="Arial" w:hAnsi="Arial" w:cs="Arial"/>
                <w:sz w:val="22"/>
                <w:szCs w:val="22"/>
              </w:rPr>
            </w:pPr>
            <w:r w:rsidRPr="00E478AF">
              <w:rPr>
                <w:rFonts w:ascii="Arial" w:hAnsi="Arial" w:cs="Arial"/>
                <w:sz w:val="22"/>
                <w:szCs w:val="22"/>
              </w:rPr>
              <w:t>1-in-10</w:t>
            </w:r>
          </w:p>
        </w:tc>
        <w:tc>
          <w:tcPr>
            <w:tcW w:w="1771" w:type="dxa"/>
            <w:vAlign w:val="center"/>
          </w:tcPr>
          <w:p w14:paraId="370D6EFA" w14:textId="54C1C0DE" w:rsidR="00A20B16" w:rsidRPr="00E478AF" w:rsidRDefault="00A20B16" w:rsidP="00173834">
            <w:pPr>
              <w:keepNext/>
              <w:keepLines/>
              <w:jc w:val="center"/>
              <w:rPr>
                <w:rFonts w:ascii="Arial" w:hAnsi="Arial" w:cs="Arial"/>
                <w:sz w:val="22"/>
                <w:szCs w:val="22"/>
              </w:rPr>
            </w:pPr>
          </w:p>
        </w:tc>
        <w:tc>
          <w:tcPr>
            <w:tcW w:w="1771" w:type="dxa"/>
            <w:vAlign w:val="center"/>
          </w:tcPr>
          <w:p w14:paraId="19672C70" w14:textId="768B301D" w:rsidR="00A20B16" w:rsidRPr="00E478AF" w:rsidRDefault="00A20B16" w:rsidP="00173834">
            <w:pPr>
              <w:keepNext/>
              <w:keepLines/>
              <w:jc w:val="center"/>
              <w:rPr>
                <w:rFonts w:ascii="Arial" w:hAnsi="Arial" w:cs="Arial"/>
                <w:sz w:val="22"/>
                <w:szCs w:val="22"/>
              </w:rPr>
            </w:pPr>
          </w:p>
        </w:tc>
        <w:tc>
          <w:tcPr>
            <w:tcW w:w="1772" w:type="dxa"/>
            <w:vAlign w:val="center"/>
          </w:tcPr>
          <w:p w14:paraId="26208055" w14:textId="0672A0B0" w:rsidR="00A20B16" w:rsidRPr="00E478AF" w:rsidRDefault="00A20B16" w:rsidP="00173834">
            <w:pPr>
              <w:keepNext/>
              <w:keepLines/>
              <w:jc w:val="center"/>
              <w:rPr>
                <w:rFonts w:ascii="Arial" w:hAnsi="Arial" w:cs="Arial"/>
                <w:sz w:val="22"/>
                <w:szCs w:val="22"/>
              </w:rPr>
            </w:pPr>
          </w:p>
        </w:tc>
      </w:tr>
      <w:tr w:rsidR="00B44B37" w14:paraId="445B9F78" w14:textId="77777777" w:rsidTr="00173834">
        <w:tc>
          <w:tcPr>
            <w:tcW w:w="1771" w:type="dxa"/>
            <w:vMerge w:val="restart"/>
            <w:vAlign w:val="center"/>
          </w:tcPr>
          <w:p w14:paraId="2B5AFDEF" w14:textId="77777777" w:rsidR="00B44B37" w:rsidRPr="00E478AF" w:rsidRDefault="00B44B37" w:rsidP="00173834">
            <w:pPr>
              <w:keepNext/>
              <w:keepLines/>
              <w:jc w:val="center"/>
              <w:rPr>
                <w:rFonts w:ascii="Arial" w:hAnsi="Arial" w:cs="Arial"/>
                <w:sz w:val="22"/>
                <w:szCs w:val="22"/>
              </w:rPr>
            </w:pPr>
            <w:r>
              <w:rPr>
                <w:rFonts w:ascii="Arial" w:hAnsi="Arial" w:cs="Arial"/>
                <w:sz w:val="22"/>
                <w:szCs w:val="22"/>
              </w:rPr>
              <w:t>CAISO-coincident</w:t>
            </w:r>
          </w:p>
        </w:tc>
        <w:tc>
          <w:tcPr>
            <w:tcW w:w="1771" w:type="dxa"/>
            <w:vAlign w:val="center"/>
          </w:tcPr>
          <w:p w14:paraId="5CCC8A85" w14:textId="77777777" w:rsidR="00B44B37" w:rsidRPr="00E478AF" w:rsidRDefault="00B44B37" w:rsidP="00173834">
            <w:pPr>
              <w:keepNext/>
              <w:keepLines/>
              <w:jc w:val="center"/>
              <w:rPr>
                <w:rFonts w:ascii="Arial" w:hAnsi="Arial" w:cs="Arial"/>
                <w:sz w:val="22"/>
                <w:szCs w:val="22"/>
              </w:rPr>
            </w:pPr>
            <w:r w:rsidRPr="00E478AF">
              <w:rPr>
                <w:rFonts w:ascii="Arial" w:hAnsi="Arial" w:cs="Arial"/>
                <w:sz w:val="22"/>
                <w:szCs w:val="22"/>
              </w:rPr>
              <w:t>1-in-2</w:t>
            </w:r>
          </w:p>
        </w:tc>
        <w:tc>
          <w:tcPr>
            <w:tcW w:w="1771" w:type="dxa"/>
            <w:vAlign w:val="center"/>
          </w:tcPr>
          <w:p w14:paraId="2DEB0235" w14:textId="34D0BDC9" w:rsidR="00B44B37" w:rsidRPr="00E478AF" w:rsidRDefault="00B44B37" w:rsidP="00173834">
            <w:pPr>
              <w:keepNext/>
              <w:keepLines/>
              <w:jc w:val="center"/>
              <w:rPr>
                <w:rFonts w:ascii="Arial" w:hAnsi="Arial" w:cs="Arial"/>
                <w:sz w:val="22"/>
                <w:szCs w:val="22"/>
              </w:rPr>
            </w:pPr>
          </w:p>
        </w:tc>
        <w:tc>
          <w:tcPr>
            <w:tcW w:w="1771" w:type="dxa"/>
            <w:vAlign w:val="center"/>
          </w:tcPr>
          <w:p w14:paraId="2BC088B1" w14:textId="2E56037E" w:rsidR="00B44B37" w:rsidRPr="00E478AF" w:rsidRDefault="00B44B37" w:rsidP="000B26CD">
            <w:pPr>
              <w:keepNext/>
              <w:keepLines/>
              <w:jc w:val="center"/>
              <w:rPr>
                <w:rFonts w:ascii="Arial" w:hAnsi="Arial" w:cs="Arial"/>
                <w:sz w:val="22"/>
                <w:szCs w:val="22"/>
              </w:rPr>
            </w:pPr>
          </w:p>
        </w:tc>
        <w:tc>
          <w:tcPr>
            <w:tcW w:w="1772" w:type="dxa"/>
            <w:vAlign w:val="center"/>
          </w:tcPr>
          <w:p w14:paraId="1448B530" w14:textId="2810FA10" w:rsidR="00B44B37" w:rsidRPr="00E478AF" w:rsidRDefault="00B44B37" w:rsidP="00173834">
            <w:pPr>
              <w:keepNext/>
              <w:keepLines/>
              <w:jc w:val="center"/>
              <w:rPr>
                <w:rFonts w:ascii="Arial" w:hAnsi="Arial" w:cs="Arial"/>
                <w:sz w:val="22"/>
                <w:szCs w:val="22"/>
              </w:rPr>
            </w:pPr>
          </w:p>
        </w:tc>
      </w:tr>
      <w:tr w:rsidR="000B26CD" w14:paraId="00F2B852" w14:textId="77777777" w:rsidTr="00173834">
        <w:tc>
          <w:tcPr>
            <w:tcW w:w="1771" w:type="dxa"/>
            <w:vMerge/>
            <w:vAlign w:val="center"/>
          </w:tcPr>
          <w:p w14:paraId="3BC6D13B" w14:textId="77777777" w:rsidR="000B26CD" w:rsidRDefault="000B26CD" w:rsidP="000B26CD">
            <w:pPr>
              <w:keepNext/>
              <w:keepLines/>
              <w:jc w:val="center"/>
              <w:rPr>
                <w:rFonts w:ascii="Arial" w:hAnsi="Arial" w:cs="Arial"/>
                <w:sz w:val="22"/>
                <w:szCs w:val="22"/>
              </w:rPr>
            </w:pPr>
          </w:p>
        </w:tc>
        <w:tc>
          <w:tcPr>
            <w:tcW w:w="1771" w:type="dxa"/>
            <w:vAlign w:val="center"/>
          </w:tcPr>
          <w:p w14:paraId="5555A4DE" w14:textId="12FCBE42" w:rsidR="000B26CD" w:rsidRPr="00E478AF" w:rsidRDefault="000B26CD" w:rsidP="000B26CD">
            <w:pPr>
              <w:keepNext/>
              <w:keepLines/>
              <w:jc w:val="center"/>
              <w:rPr>
                <w:rFonts w:ascii="Arial" w:hAnsi="Arial" w:cs="Arial"/>
                <w:sz w:val="22"/>
                <w:szCs w:val="22"/>
              </w:rPr>
            </w:pPr>
            <w:r w:rsidRPr="00E478AF">
              <w:rPr>
                <w:rFonts w:ascii="Arial" w:hAnsi="Arial" w:cs="Arial"/>
                <w:sz w:val="22"/>
                <w:szCs w:val="22"/>
              </w:rPr>
              <w:t>1-in-10</w:t>
            </w:r>
          </w:p>
        </w:tc>
        <w:tc>
          <w:tcPr>
            <w:tcW w:w="1771" w:type="dxa"/>
            <w:vAlign w:val="center"/>
          </w:tcPr>
          <w:p w14:paraId="51A2A9B8" w14:textId="6153E84C" w:rsidR="000B26CD" w:rsidRDefault="000B26CD" w:rsidP="000B26CD">
            <w:pPr>
              <w:keepNext/>
              <w:keepLines/>
              <w:jc w:val="center"/>
              <w:rPr>
                <w:rFonts w:ascii="Arial" w:hAnsi="Arial" w:cs="Arial"/>
                <w:sz w:val="22"/>
                <w:szCs w:val="22"/>
              </w:rPr>
            </w:pPr>
          </w:p>
        </w:tc>
        <w:tc>
          <w:tcPr>
            <w:tcW w:w="1771" w:type="dxa"/>
            <w:vAlign w:val="center"/>
          </w:tcPr>
          <w:p w14:paraId="6855E636" w14:textId="6CF3D589" w:rsidR="000B26CD" w:rsidRDefault="000B26CD" w:rsidP="000B26CD">
            <w:pPr>
              <w:keepNext/>
              <w:keepLines/>
              <w:jc w:val="center"/>
              <w:rPr>
                <w:rFonts w:ascii="Arial" w:hAnsi="Arial" w:cs="Arial"/>
                <w:sz w:val="22"/>
                <w:szCs w:val="22"/>
              </w:rPr>
            </w:pPr>
          </w:p>
        </w:tc>
        <w:tc>
          <w:tcPr>
            <w:tcW w:w="1772" w:type="dxa"/>
            <w:vAlign w:val="center"/>
          </w:tcPr>
          <w:p w14:paraId="426D94D0" w14:textId="470D86A9" w:rsidR="000B26CD" w:rsidRDefault="000B26CD" w:rsidP="000B26CD">
            <w:pPr>
              <w:keepNext/>
              <w:keepLines/>
              <w:jc w:val="center"/>
              <w:rPr>
                <w:rFonts w:ascii="Arial" w:hAnsi="Arial" w:cs="Arial"/>
                <w:sz w:val="22"/>
                <w:szCs w:val="22"/>
              </w:rPr>
            </w:pPr>
          </w:p>
        </w:tc>
      </w:tr>
    </w:tbl>
    <w:p w14:paraId="09CD5D24" w14:textId="6934620D" w:rsidR="000B223E" w:rsidRDefault="000B223E" w:rsidP="000B223E"/>
    <w:p w14:paraId="6D2BE31D" w14:textId="068BCAAF" w:rsidR="00A72CC4" w:rsidRDefault="00DD01A1" w:rsidP="00A72CC4">
      <w:pPr>
        <w:pStyle w:val="Heading1"/>
      </w:pPr>
      <w:bookmarkStart w:id="196" w:name="_Toc415488974"/>
      <w:r>
        <w:lastRenderedPageBreak/>
        <w:t>6</w:t>
      </w:r>
      <w:r w:rsidR="00A72CC4">
        <w:t>. Comparisons of Results</w:t>
      </w:r>
      <w:bookmarkEnd w:id="196"/>
    </w:p>
    <w:p w14:paraId="1880E335" w14:textId="77777777" w:rsidR="00DA4753" w:rsidRDefault="00DA4753" w:rsidP="00DA4753">
      <w:r>
        <w:t>In this section, we present several comparisons of load impacts for each utility:</w:t>
      </w:r>
    </w:p>
    <w:p w14:paraId="23991AD5" w14:textId="77777777" w:rsidR="00DA4753" w:rsidRDefault="00DA4753" w:rsidP="00DA4753">
      <w:pPr>
        <w:numPr>
          <w:ilvl w:val="0"/>
          <w:numId w:val="10"/>
        </w:numPr>
      </w:pPr>
      <w:r>
        <w:t>Ex post load impacts from the current and previous studies;</w:t>
      </w:r>
    </w:p>
    <w:p w14:paraId="43A72828" w14:textId="77777777" w:rsidR="00DA4753" w:rsidRDefault="00DA4753" w:rsidP="00DA4753">
      <w:pPr>
        <w:numPr>
          <w:ilvl w:val="0"/>
          <w:numId w:val="10"/>
        </w:numPr>
      </w:pPr>
      <w:r>
        <w:t xml:space="preserve">Ex ante load impacts from the current and previous studies; </w:t>
      </w:r>
    </w:p>
    <w:p w14:paraId="7EBC6B02" w14:textId="77777777" w:rsidR="00DA4753" w:rsidRDefault="00DA4753" w:rsidP="00DA4753">
      <w:pPr>
        <w:numPr>
          <w:ilvl w:val="0"/>
          <w:numId w:val="10"/>
        </w:numPr>
      </w:pPr>
      <w:r>
        <w:t>Previous ex ante and current ex post load impacts; and</w:t>
      </w:r>
    </w:p>
    <w:p w14:paraId="1D621BD2" w14:textId="77777777" w:rsidR="00DA4753" w:rsidRDefault="00DA4753" w:rsidP="00DA4753">
      <w:pPr>
        <w:numPr>
          <w:ilvl w:val="0"/>
          <w:numId w:val="10"/>
        </w:numPr>
      </w:pPr>
      <w:r>
        <w:t>Current ex post and ex ante load impacts.</w:t>
      </w:r>
    </w:p>
    <w:p w14:paraId="57D216F0" w14:textId="77777777" w:rsidR="00DA4753" w:rsidRDefault="00DA4753" w:rsidP="00DA4753"/>
    <w:p w14:paraId="31C6D240" w14:textId="4222EC39" w:rsidR="00DA4753" w:rsidRDefault="00DA4753" w:rsidP="00DA4753">
      <w:r>
        <w:t xml:space="preserve">In the above “current study” refers to this report, which is based on findings from the 2014 program year; and “previous study” refers to the report that was developed following the 2013 program year. </w:t>
      </w:r>
    </w:p>
    <w:p w14:paraId="337CABA8" w14:textId="77777777" w:rsidR="00DA4753" w:rsidRPr="00E36F39" w:rsidRDefault="00DA4753" w:rsidP="00DA4753">
      <w:pPr>
        <w:pStyle w:val="Heading2"/>
      </w:pPr>
      <w:bookmarkStart w:id="197" w:name="_Toc383597951"/>
      <w:bookmarkStart w:id="198" w:name="_Toc415488975"/>
      <w:r w:rsidRPr="00E36F39">
        <w:t>6.1 PG&amp;E</w:t>
      </w:r>
      <w:bookmarkEnd w:id="197"/>
      <w:bookmarkEnd w:id="198"/>
    </w:p>
    <w:p w14:paraId="50D20DAB" w14:textId="2AAC9925" w:rsidR="00DA4753" w:rsidRPr="00E36F39" w:rsidRDefault="00DA4753" w:rsidP="00DA4753">
      <w:pPr>
        <w:pStyle w:val="Heading3"/>
      </w:pPr>
      <w:bookmarkStart w:id="199" w:name="_Toc383597952"/>
      <w:bookmarkStart w:id="200" w:name="_Toc415488976"/>
      <w:r w:rsidRPr="00E36F39">
        <w:t>6.1.1 Previous versus current ex post</w:t>
      </w:r>
      <w:bookmarkEnd w:id="199"/>
      <w:bookmarkEnd w:id="200"/>
    </w:p>
    <w:p w14:paraId="25633775" w14:textId="012469BA" w:rsidR="00DA4753" w:rsidRDefault="00DA4753" w:rsidP="00DA4753">
      <w:r>
        <w:t>Table 6.1 shows the average event-hour reference loads and load impacts for PY2013 and PY2014. The PY2013 load impacts are based on the four event hours on July 2, 2013. The PY2014 load impacts are based on the two event hours on September 11, 2014.</w:t>
      </w:r>
    </w:p>
    <w:p w14:paraId="6A535147" w14:textId="77777777" w:rsidR="00DA4753" w:rsidRDefault="00DA4753" w:rsidP="00DA4753"/>
    <w:p w14:paraId="1961FF77" w14:textId="1847759D" w:rsidR="00DA4753" w:rsidRPr="00376F46" w:rsidRDefault="00DA4753" w:rsidP="00DA4753">
      <w:pPr>
        <w:pStyle w:val="TableCaption"/>
        <w:keepNext/>
        <w:keepLines/>
      </w:pPr>
      <w:bookmarkStart w:id="201" w:name="_Toc383598016"/>
      <w:bookmarkStart w:id="202" w:name="_Toc415489025"/>
      <w:r w:rsidRPr="00376F46">
        <w:t xml:space="preserve">Table </w:t>
      </w:r>
      <w:r>
        <w:t>6</w:t>
      </w:r>
      <w:r w:rsidRPr="00376F46">
        <w:t>.</w:t>
      </w:r>
      <w:r>
        <w:t>1</w:t>
      </w:r>
      <w:r w:rsidRPr="00376F46">
        <w:t xml:space="preserve">: Comparison of </w:t>
      </w:r>
      <w:r>
        <w:t xml:space="preserve">Average Event-day Ex Post </w:t>
      </w:r>
      <w:r w:rsidRPr="00376F46">
        <w:t>Impacts (in MW) in PY 201</w:t>
      </w:r>
      <w:r>
        <w:t xml:space="preserve">3 and </w:t>
      </w:r>
      <w:r w:rsidRPr="00376F46">
        <w:t>PY 201</w:t>
      </w:r>
      <w:r>
        <w:t>4</w:t>
      </w:r>
      <w:r w:rsidRPr="00376F46">
        <w:t xml:space="preserve">, </w:t>
      </w:r>
      <w:r w:rsidRPr="00376F46">
        <w:rPr>
          <w:i/>
        </w:rPr>
        <w:t>PG&amp;E</w:t>
      </w:r>
      <w:bookmarkEnd w:id="201"/>
      <w:bookmarkEnd w:id="20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1953"/>
        <w:gridCol w:w="1512"/>
        <w:gridCol w:w="1512"/>
      </w:tblGrid>
      <w:tr w:rsidR="00DA4753" w14:paraId="27CB9B92" w14:textId="77777777" w:rsidTr="00DA4753">
        <w:trPr>
          <w:jc w:val="center"/>
        </w:trPr>
        <w:tc>
          <w:tcPr>
            <w:tcW w:w="1378" w:type="dxa"/>
            <w:shd w:val="clear" w:color="auto" w:fill="D9E2F3"/>
            <w:vAlign w:val="center"/>
          </w:tcPr>
          <w:p w14:paraId="5F923692" w14:textId="77777777" w:rsidR="00DA4753" w:rsidRPr="009C75E1" w:rsidRDefault="00DA4753" w:rsidP="00DA4753">
            <w:pPr>
              <w:keepNext/>
              <w:keepLines/>
              <w:jc w:val="center"/>
              <w:rPr>
                <w:rFonts w:ascii="Arial" w:hAnsi="Arial" w:cs="Arial"/>
                <w:b/>
                <w:sz w:val="20"/>
                <w:szCs w:val="20"/>
              </w:rPr>
            </w:pPr>
            <w:r w:rsidRPr="009C75E1">
              <w:rPr>
                <w:rFonts w:ascii="Arial" w:hAnsi="Arial" w:cs="Arial"/>
                <w:b/>
                <w:sz w:val="20"/>
                <w:szCs w:val="20"/>
              </w:rPr>
              <w:t>Level</w:t>
            </w:r>
          </w:p>
        </w:tc>
        <w:tc>
          <w:tcPr>
            <w:tcW w:w="1953" w:type="dxa"/>
            <w:shd w:val="clear" w:color="auto" w:fill="D9E2F3"/>
            <w:vAlign w:val="center"/>
          </w:tcPr>
          <w:p w14:paraId="07445DAD" w14:textId="77777777" w:rsidR="00DA4753" w:rsidRPr="009C75E1" w:rsidRDefault="00DA4753" w:rsidP="00DA4753">
            <w:pPr>
              <w:keepNext/>
              <w:keepLines/>
              <w:jc w:val="center"/>
              <w:rPr>
                <w:rFonts w:ascii="Arial" w:hAnsi="Arial" w:cs="Arial"/>
                <w:b/>
                <w:sz w:val="20"/>
                <w:szCs w:val="20"/>
              </w:rPr>
            </w:pPr>
            <w:r w:rsidRPr="009C75E1">
              <w:rPr>
                <w:rFonts w:ascii="Arial" w:hAnsi="Arial" w:cs="Arial"/>
                <w:b/>
                <w:sz w:val="20"/>
                <w:szCs w:val="20"/>
              </w:rPr>
              <w:t>Outcome</w:t>
            </w:r>
          </w:p>
        </w:tc>
        <w:tc>
          <w:tcPr>
            <w:tcW w:w="1512" w:type="dxa"/>
            <w:shd w:val="clear" w:color="auto" w:fill="D9E2F3"/>
            <w:vAlign w:val="center"/>
          </w:tcPr>
          <w:p w14:paraId="5BB93D01" w14:textId="77777777" w:rsidR="00DA4753" w:rsidRPr="009C75E1" w:rsidRDefault="00DA4753" w:rsidP="00DA4753">
            <w:pPr>
              <w:keepNext/>
              <w:keepLines/>
              <w:jc w:val="center"/>
              <w:rPr>
                <w:rFonts w:ascii="Arial" w:hAnsi="Arial" w:cs="Arial"/>
                <w:b/>
                <w:sz w:val="20"/>
                <w:szCs w:val="20"/>
              </w:rPr>
            </w:pPr>
            <w:r w:rsidRPr="009C75E1">
              <w:rPr>
                <w:rFonts w:ascii="Arial" w:hAnsi="Arial" w:cs="Arial"/>
                <w:b/>
                <w:sz w:val="20"/>
                <w:szCs w:val="20"/>
              </w:rPr>
              <w:t>PY201</w:t>
            </w:r>
            <w:r>
              <w:rPr>
                <w:rFonts w:ascii="Arial" w:hAnsi="Arial" w:cs="Arial"/>
                <w:b/>
                <w:sz w:val="20"/>
                <w:szCs w:val="20"/>
              </w:rPr>
              <w:t>3</w:t>
            </w:r>
          </w:p>
        </w:tc>
        <w:tc>
          <w:tcPr>
            <w:tcW w:w="1512" w:type="dxa"/>
            <w:shd w:val="clear" w:color="auto" w:fill="D9E2F3"/>
            <w:vAlign w:val="center"/>
          </w:tcPr>
          <w:p w14:paraId="6C663351" w14:textId="77777777" w:rsidR="00DA4753" w:rsidRPr="009C75E1" w:rsidRDefault="00DA4753" w:rsidP="00DA4753">
            <w:pPr>
              <w:keepNext/>
              <w:keepLines/>
              <w:jc w:val="center"/>
              <w:rPr>
                <w:rFonts w:ascii="Arial" w:hAnsi="Arial" w:cs="Arial"/>
                <w:b/>
                <w:sz w:val="20"/>
                <w:szCs w:val="20"/>
              </w:rPr>
            </w:pPr>
            <w:r w:rsidRPr="009C75E1">
              <w:rPr>
                <w:rFonts w:ascii="Arial" w:hAnsi="Arial" w:cs="Arial"/>
                <w:b/>
                <w:sz w:val="20"/>
                <w:szCs w:val="20"/>
              </w:rPr>
              <w:t>PY201</w:t>
            </w:r>
            <w:r>
              <w:rPr>
                <w:rFonts w:ascii="Arial" w:hAnsi="Arial" w:cs="Arial"/>
                <w:b/>
                <w:sz w:val="20"/>
                <w:szCs w:val="20"/>
              </w:rPr>
              <w:t>4</w:t>
            </w:r>
          </w:p>
        </w:tc>
      </w:tr>
      <w:tr w:rsidR="00DA4753" w14:paraId="688028BC" w14:textId="77777777" w:rsidTr="00DA4753">
        <w:trPr>
          <w:jc w:val="center"/>
        </w:trPr>
        <w:tc>
          <w:tcPr>
            <w:tcW w:w="1378" w:type="dxa"/>
            <w:vMerge w:val="restart"/>
            <w:shd w:val="clear" w:color="auto" w:fill="auto"/>
            <w:vAlign w:val="center"/>
          </w:tcPr>
          <w:p w14:paraId="491BEE4E" w14:textId="77777777" w:rsidR="00DA4753" w:rsidRPr="009C75E1" w:rsidRDefault="00DA4753" w:rsidP="00DA4753">
            <w:pPr>
              <w:keepNext/>
              <w:keepLines/>
              <w:rPr>
                <w:rFonts w:ascii="Arial" w:hAnsi="Arial" w:cs="Arial"/>
                <w:b/>
                <w:sz w:val="20"/>
                <w:szCs w:val="20"/>
              </w:rPr>
            </w:pPr>
            <w:r w:rsidRPr="009C75E1">
              <w:rPr>
                <w:rFonts w:ascii="Arial" w:hAnsi="Arial" w:cs="Arial"/>
                <w:b/>
                <w:sz w:val="20"/>
                <w:szCs w:val="20"/>
              </w:rPr>
              <w:t>Total</w:t>
            </w:r>
          </w:p>
        </w:tc>
        <w:tc>
          <w:tcPr>
            <w:tcW w:w="1953" w:type="dxa"/>
            <w:shd w:val="clear" w:color="auto" w:fill="auto"/>
          </w:tcPr>
          <w:p w14:paraId="4F91FE00" w14:textId="77777777" w:rsidR="00DA4753" w:rsidRPr="009C75E1" w:rsidRDefault="00DA4753" w:rsidP="00DA4753">
            <w:pPr>
              <w:keepNext/>
              <w:keepLines/>
              <w:rPr>
                <w:rFonts w:ascii="Arial" w:hAnsi="Arial" w:cs="Arial"/>
                <w:sz w:val="20"/>
                <w:szCs w:val="20"/>
              </w:rPr>
            </w:pPr>
            <w:r w:rsidRPr="009C75E1">
              <w:rPr>
                <w:rFonts w:ascii="Arial" w:hAnsi="Arial" w:cs="Arial"/>
                <w:sz w:val="20"/>
                <w:szCs w:val="20"/>
              </w:rPr>
              <w:t># SAIDs</w:t>
            </w:r>
          </w:p>
        </w:tc>
        <w:tc>
          <w:tcPr>
            <w:tcW w:w="1512" w:type="dxa"/>
            <w:shd w:val="clear" w:color="auto" w:fill="auto"/>
            <w:vAlign w:val="center"/>
          </w:tcPr>
          <w:p w14:paraId="1E30EA61" w14:textId="42F91B10" w:rsidR="00DA4753" w:rsidRPr="009C75E1" w:rsidRDefault="00DA4753" w:rsidP="00DA4753">
            <w:pPr>
              <w:keepNext/>
              <w:keepLines/>
              <w:jc w:val="center"/>
              <w:rPr>
                <w:rFonts w:ascii="Arial" w:hAnsi="Arial" w:cs="Arial"/>
                <w:sz w:val="20"/>
                <w:szCs w:val="20"/>
              </w:rPr>
            </w:pPr>
            <w:r>
              <w:rPr>
                <w:rFonts w:ascii="Arial" w:hAnsi="Arial" w:cs="Arial"/>
                <w:sz w:val="20"/>
                <w:szCs w:val="20"/>
              </w:rPr>
              <w:t>280</w:t>
            </w:r>
          </w:p>
        </w:tc>
        <w:tc>
          <w:tcPr>
            <w:tcW w:w="1512" w:type="dxa"/>
            <w:shd w:val="clear" w:color="auto" w:fill="auto"/>
            <w:vAlign w:val="center"/>
          </w:tcPr>
          <w:p w14:paraId="559C4E99" w14:textId="12756357" w:rsidR="00DA4753" w:rsidRPr="009C75E1" w:rsidRDefault="00DA4753" w:rsidP="00DA4753">
            <w:pPr>
              <w:keepNext/>
              <w:keepLines/>
              <w:jc w:val="center"/>
              <w:rPr>
                <w:rFonts w:ascii="Arial" w:hAnsi="Arial" w:cs="Arial"/>
                <w:sz w:val="20"/>
                <w:szCs w:val="20"/>
              </w:rPr>
            </w:pPr>
            <w:r>
              <w:rPr>
                <w:rFonts w:ascii="Arial" w:hAnsi="Arial" w:cs="Arial"/>
                <w:sz w:val="20"/>
                <w:szCs w:val="20"/>
              </w:rPr>
              <w:t>218</w:t>
            </w:r>
          </w:p>
        </w:tc>
      </w:tr>
      <w:tr w:rsidR="00DA4753" w14:paraId="6A96FF1D" w14:textId="77777777" w:rsidTr="00DA4753">
        <w:trPr>
          <w:trHeight w:val="242"/>
          <w:jc w:val="center"/>
        </w:trPr>
        <w:tc>
          <w:tcPr>
            <w:tcW w:w="1378" w:type="dxa"/>
            <w:vMerge/>
            <w:shd w:val="clear" w:color="auto" w:fill="auto"/>
            <w:vAlign w:val="center"/>
          </w:tcPr>
          <w:p w14:paraId="17A79661" w14:textId="77777777" w:rsidR="00DA4753" w:rsidRPr="009C75E1" w:rsidRDefault="00DA4753" w:rsidP="00DA4753">
            <w:pPr>
              <w:keepNext/>
              <w:keepLines/>
              <w:rPr>
                <w:rFonts w:ascii="Arial" w:hAnsi="Arial" w:cs="Arial"/>
                <w:sz w:val="20"/>
                <w:szCs w:val="20"/>
              </w:rPr>
            </w:pPr>
          </w:p>
        </w:tc>
        <w:tc>
          <w:tcPr>
            <w:tcW w:w="1953" w:type="dxa"/>
            <w:shd w:val="clear" w:color="auto" w:fill="auto"/>
          </w:tcPr>
          <w:p w14:paraId="1340D82A" w14:textId="77777777" w:rsidR="00DA4753" w:rsidRPr="009C75E1" w:rsidRDefault="00DA4753" w:rsidP="00DA4753">
            <w:pPr>
              <w:keepNext/>
              <w:keepLines/>
              <w:rPr>
                <w:rFonts w:ascii="Arial" w:hAnsi="Arial" w:cs="Arial"/>
                <w:sz w:val="20"/>
                <w:szCs w:val="20"/>
              </w:rPr>
            </w:pPr>
            <w:r w:rsidRPr="009C75E1">
              <w:rPr>
                <w:rFonts w:ascii="Arial" w:hAnsi="Arial" w:cs="Arial"/>
                <w:sz w:val="20"/>
                <w:szCs w:val="20"/>
              </w:rPr>
              <w:t>Reference (MW)</w:t>
            </w:r>
          </w:p>
        </w:tc>
        <w:tc>
          <w:tcPr>
            <w:tcW w:w="1512" w:type="dxa"/>
            <w:shd w:val="clear" w:color="auto" w:fill="auto"/>
            <w:vAlign w:val="center"/>
          </w:tcPr>
          <w:p w14:paraId="6921D096" w14:textId="69900369" w:rsidR="00DA4753" w:rsidRPr="009C75E1" w:rsidRDefault="00DA4753" w:rsidP="00DA4753">
            <w:pPr>
              <w:keepNext/>
              <w:keepLines/>
              <w:jc w:val="center"/>
              <w:rPr>
                <w:rFonts w:ascii="Arial" w:hAnsi="Arial" w:cs="Arial"/>
                <w:sz w:val="20"/>
                <w:szCs w:val="20"/>
              </w:rPr>
            </w:pPr>
            <w:r>
              <w:rPr>
                <w:rFonts w:ascii="Arial" w:hAnsi="Arial" w:cs="Arial"/>
                <w:sz w:val="20"/>
                <w:szCs w:val="20"/>
              </w:rPr>
              <w:t>291</w:t>
            </w:r>
          </w:p>
        </w:tc>
        <w:tc>
          <w:tcPr>
            <w:tcW w:w="1512" w:type="dxa"/>
            <w:shd w:val="clear" w:color="auto" w:fill="auto"/>
            <w:vAlign w:val="center"/>
          </w:tcPr>
          <w:p w14:paraId="514BF8DC" w14:textId="3C70CBAF" w:rsidR="00DA4753" w:rsidRPr="009C75E1" w:rsidRDefault="00DA4753" w:rsidP="00DA4753">
            <w:pPr>
              <w:keepNext/>
              <w:keepLines/>
              <w:jc w:val="center"/>
              <w:rPr>
                <w:rFonts w:ascii="Arial" w:hAnsi="Arial" w:cs="Arial"/>
                <w:sz w:val="20"/>
                <w:szCs w:val="20"/>
              </w:rPr>
            </w:pPr>
            <w:r>
              <w:rPr>
                <w:rFonts w:ascii="Arial" w:hAnsi="Arial" w:cs="Arial"/>
                <w:sz w:val="20"/>
                <w:szCs w:val="20"/>
              </w:rPr>
              <w:t>286</w:t>
            </w:r>
          </w:p>
        </w:tc>
      </w:tr>
      <w:tr w:rsidR="00DA4753" w14:paraId="7D2DA232" w14:textId="77777777" w:rsidTr="00DA4753">
        <w:trPr>
          <w:jc w:val="center"/>
        </w:trPr>
        <w:tc>
          <w:tcPr>
            <w:tcW w:w="1378" w:type="dxa"/>
            <w:vMerge/>
            <w:shd w:val="clear" w:color="auto" w:fill="auto"/>
            <w:vAlign w:val="center"/>
          </w:tcPr>
          <w:p w14:paraId="3DC5EAA7" w14:textId="77777777" w:rsidR="00DA4753" w:rsidRPr="009C75E1" w:rsidRDefault="00DA4753" w:rsidP="00DA4753">
            <w:pPr>
              <w:keepNext/>
              <w:keepLines/>
              <w:rPr>
                <w:rFonts w:ascii="Arial" w:hAnsi="Arial" w:cs="Arial"/>
                <w:sz w:val="20"/>
                <w:szCs w:val="20"/>
              </w:rPr>
            </w:pPr>
          </w:p>
        </w:tc>
        <w:tc>
          <w:tcPr>
            <w:tcW w:w="1953" w:type="dxa"/>
            <w:shd w:val="clear" w:color="auto" w:fill="auto"/>
          </w:tcPr>
          <w:p w14:paraId="6CC7F0D1" w14:textId="77777777" w:rsidR="00DA4753" w:rsidRPr="009C75E1" w:rsidRDefault="00DA4753" w:rsidP="00DA4753">
            <w:pPr>
              <w:keepNext/>
              <w:keepLines/>
              <w:rPr>
                <w:rFonts w:ascii="Arial" w:hAnsi="Arial" w:cs="Arial"/>
                <w:sz w:val="20"/>
                <w:szCs w:val="20"/>
              </w:rPr>
            </w:pPr>
            <w:r w:rsidRPr="009C75E1">
              <w:rPr>
                <w:rFonts w:ascii="Arial" w:hAnsi="Arial" w:cs="Arial"/>
                <w:sz w:val="20"/>
                <w:szCs w:val="20"/>
              </w:rPr>
              <w:t>Load Impact (MW)</w:t>
            </w:r>
          </w:p>
        </w:tc>
        <w:tc>
          <w:tcPr>
            <w:tcW w:w="1512" w:type="dxa"/>
            <w:shd w:val="clear" w:color="auto" w:fill="auto"/>
            <w:vAlign w:val="center"/>
          </w:tcPr>
          <w:p w14:paraId="20866023" w14:textId="54DFC1BD" w:rsidR="00DA4753" w:rsidRPr="009C75E1" w:rsidRDefault="00DA4753" w:rsidP="00DA4753">
            <w:pPr>
              <w:keepNext/>
              <w:keepLines/>
              <w:jc w:val="center"/>
              <w:rPr>
                <w:rFonts w:ascii="Arial" w:hAnsi="Arial" w:cs="Arial"/>
                <w:sz w:val="20"/>
                <w:szCs w:val="20"/>
              </w:rPr>
            </w:pPr>
            <w:r>
              <w:rPr>
                <w:rFonts w:ascii="Arial" w:hAnsi="Arial" w:cs="Arial"/>
                <w:sz w:val="20"/>
                <w:szCs w:val="20"/>
              </w:rPr>
              <w:t>216</w:t>
            </w:r>
          </w:p>
        </w:tc>
        <w:tc>
          <w:tcPr>
            <w:tcW w:w="1512" w:type="dxa"/>
            <w:shd w:val="clear" w:color="auto" w:fill="auto"/>
            <w:vAlign w:val="center"/>
          </w:tcPr>
          <w:p w14:paraId="5E22EEBD" w14:textId="4E42D290" w:rsidR="00DA4753" w:rsidRPr="009C75E1" w:rsidRDefault="00DA4753" w:rsidP="00DA4753">
            <w:pPr>
              <w:keepNext/>
              <w:keepLines/>
              <w:jc w:val="center"/>
              <w:rPr>
                <w:rFonts w:ascii="Arial" w:hAnsi="Arial" w:cs="Arial"/>
                <w:sz w:val="20"/>
                <w:szCs w:val="20"/>
              </w:rPr>
            </w:pPr>
            <w:r>
              <w:rPr>
                <w:rFonts w:ascii="Arial" w:hAnsi="Arial" w:cs="Arial"/>
                <w:sz w:val="20"/>
                <w:szCs w:val="20"/>
              </w:rPr>
              <w:t>228</w:t>
            </w:r>
          </w:p>
        </w:tc>
      </w:tr>
      <w:tr w:rsidR="00DA4753" w14:paraId="06BE94DF" w14:textId="77777777" w:rsidTr="00DA4753">
        <w:trPr>
          <w:jc w:val="center"/>
        </w:trPr>
        <w:tc>
          <w:tcPr>
            <w:tcW w:w="1378" w:type="dxa"/>
            <w:vMerge w:val="restart"/>
            <w:shd w:val="clear" w:color="auto" w:fill="auto"/>
            <w:vAlign w:val="center"/>
          </w:tcPr>
          <w:p w14:paraId="5AB45AB0" w14:textId="77777777" w:rsidR="00DA4753" w:rsidRPr="009C75E1" w:rsidRDefault="00DA4753" w:rsidP="00DA4753">
            <w:pPr>
              <w:keepNext/>
              <w:keepLines/>
              <w:rPr>
                <w:rFonts w:ascii="Arial" w:hAnsi="Arial" w:cs="Arial"/>
                <w:b/>
                <w:sz w:val="20"/>
                <w:szCs w:val="20"/>
              </w:rPr>
            </w:pPr>
            <w:r w:rsidRPr="009C75E1">
              <w:rPr>
                <w:rFonts w:ascii="Arial" w:hAnsi="Arial" w:cs="Arial"/>
                <w:b/>
                <w:sz w:val="20"/>
                <w:szCs w:val="20"/>
              </w:rPr>
              <w:t>Per SAID</w:t>
            </w:r>
          </w:p>
        </w:tc>
        <w:tc>
          <w:tcPr>
            <w:tcW w:w="1953" w:type="dxa"/>
            <w:shd w:val="clear" w:color="auto" w:fill="auto"/>
          </w:tcPr>
          <w:p w14:paraId="5407FBF6" w14:textId="77777777" w:rsidR="00DA4753" w:rsidRPr="009C75E1" w:rsidRDefault="00DA4753" w:rsidP="00DA4753">
            <w:pPr>
              <w:keepNext/>
              <w:keepLines/>
              <w:rPr>
                <w:rFonts w:ascii="Arial" w:hAnsi="Arial" w:cs="Arial"/>
                <w:sz w:val="20"/>
                <w:szCs w:val="20"/>
              </w:rPr>
            </w:pPr>
            <w:r w:rsidRPr="009C75E1">
              <w:rPr>
                <w:rFonts w:ascii="Arial" w:hAnsi="Arial" w:cs="Arial"/>
                <w:sz w:val="20"/>
                <w:szCs w:val="20"/>
              </w:rPr>
              <w:t>Reference (kW)</w:t>
            </w:r>
          </w:p>
        </w:tc>
        <w:tc>
          <w:tcPr>
            <w:tcW w:w="1512" w:type="dxa"/>
            <w:shd w:val="clear" w:color="auto" w:fill="auto"/>
            <w:vAlign w:val="center"/>
          </w:tcPr>
          <w:p w14:paraId="0100EF82" w14:textId="5312F5A5" w:rsidR="00DA4753" w:rsidRPr="009C75E1" w:rsidRDefault="00DA4753" w:rsidP="00DA4753">
            <w:pPr>
              <w:keepNext/>
              <w:keepLines/>
              <w:jc w:val="center"/>
              <w:rPr>
                <w:rFonts w:ascii="Arial" w:hAnsi="Arial" w:cs="Arial"/>
                <w:sz w:val="20"/>
                <w:szCs w:val="20"/>
              </w:rPr>
            </w:pPr>
            <w:r>
              <w:rPr>
                <w:rFonts w:ascii="Arial" w:hAnsi="Arial" w:cs="Arial"/>
                <w:sz w:val="20"/>
                <w:szCs w:val="20"/>
              </w:rPr>
              <w:t>1,038</w:t>
            </w:r>
          </w:p>
        </w:tc>
        <w:tc>
          <w:tcPr>
            <w:tcW w:w="1512" w:type="dxa"/>
            <w:shd w:val="clear" w:color="auto" w:fill="auto"/>
            <w:vAlign w:val="center"/>
          </w:tcPr>
          <w:p w14:paraId="1BF0FA49" w14:textId="0CA72B1A" w:rsidR="00DA4753" w:rsidRPr="009C75E1" w:rsidRDefault="00DA4753" w:rsidP="00DA4753">
            <w:pPr>
              <w:keepNext/>
              <w:keepLines/>
              <w:jc w:val="center"/>
              <w:rPr>
                <w:rFonts w:ascii="Arial" w:hAnsi="Arial" w:cs="Arial"/>
                <w:sz w:val="20"/>
                <w:szCs w:val="20"/>
              </w:rPr>
            </w:pPr>
            <w:r>
              <w:rPr>
                <w:rFonts w:ascii="Arial" w:hAnsi="Arial" w:cs="Arial"/>
                <w:sz w:val="20"/>
                <w:szCs w:val="20"/>
              </w:rPr>
              <w:t>1,311</w:t>
            </w:r>
          </w:p>
        </w:tc>
      </w:tr>
      <w:tr w:rsidR="00DA4753" w14:paraId="56234406" w14:textId="77777777" w:rsidTr="00DA4753">
        <w:trPr>
          <w:jc w:val="center"/>
        </w:trPr>
        <w:tc>
          <w:tcPr>
            <w:tcW w:w="1378" w:type="dxa"/>
            <w:vMerge/>
            <w:shd w:val="clear" w:color="auto" w:fill="auto"/>
          </w:tcPr>
          <w:p w14:paraId="5861DF87" w14:textId="77777777" w:rsidR="00DA4753" w:rsidRPr="009C75E1" w:rsidRDefault="00DA4753" w:rsidP="00DA4753">
            <w:pPr>
              <w:keepNext/>
              <w:keepLines/>
              <w:rPr>
                <w:rFonts w:ascii="Arial" w:hAnsi="Arial" w:cs="Arial"/>
                <w:sz w:val="20"/>
                <w:szCs w:val="20"/>
              </w:rPr>
            </w:pPr>
          </w:p>
        </w:tc>
        <w:tc>
          <w:tcPr>
            <w:tcW w:w="1953" w:type="dxa"/>
            <w:shd w:val="clear" w:color="auto" w:fill="auto"/>
          </w:tcPr>
          <w:p w14:paraId="3DC91C31" w14:textId="77777777" w:rsidR="00DA4753" w:rsidRPr="009C75E1" w:rsidRDefault="00DA4753" w:rsidP="00DA4753">
            <w:pPr>
              <w:keepNext/>
              <w:keepLines/>
              <w:rPr>
                <w:rFonts w:ascii="Arial" w:hAnsi="Arial" w:cs="Arial"/>
                <w:sz w:val="20"/>
                <w:szCs w:val="20"/>
              </w:rPr>
            </w:pPr>
            <w:r w:rsidRPr="009C75E1">
              <w:rPr>
                <w:rFonts w:ascii="Arial" w:hAnsi="Arial" w:cs="Arial"/>
                <w:sz w:val="20"/>
                <w:szCs w:val="20"/>
              </w:rPr>
              <w:t>Load Impact (kW)</w:t>
            </w:r>
          </w:p>
        </w:tc>
        <w:tc>
          <w:tcPr>
            <w:tcW w:w="1512" w:type="dxa"/>
            <w:shd w:val="clear" w:color="auto" w:fill="auto"/>
            <w:vAlign w:val="center"/>
          </w:tcPr>
          <w:p w14:paraId="4FCA5FF8" w14:textId="6A5DFE72" w:rsidR="00DA4753" w:rsidRPr="009C75E1" w:rsidRDefault="00DA4753" w:rsidP="00DA4753">
            <w:pPr>
              <w:keepNext/>
              <w:keepLines/>
              <w:jc w:val="center"/>
              <w:rPr>
                <w:rFonts w:ascii="Arial" w:hAnsi="Arial" w:cs="Arial"/>
                <w:sz w:val="20"/>
                <w:szCs w:val="20"/>
              </w:rPr>
            </w:pPr>
            <w:r>
              <w:rPr>
                <w:rFonts w:ascii="Arial" w:hAnsi="Arial" w:cs="Arial"/>
                <w:sz w:val="20"/>
                <w:szCs w:val="20"/>
              </w:rPr>
              <w:t>772</w:t>
            </w:r>
          </w:p>
        </w:tc>
        <w:tc>
          <w:tcPr>
            <w:tcW w:w="1512" w:type="dxa"/>
            <w:shd w:val="clear" w:color="auto" w:fill="auto"/>
            <w:vAlign w:val="center"/>
          </w:tcPr>
          <w:p w14:paraId="21D07B9F" w14:textId="55CA0A47" w:rsidR="00DA4753" w:rsidRPr="009C75E1" w:rsidRDefault="00DA4753" w:rsidP="00DA4753">
            <w:pPr>
              <w:keepNext/>
              <w:keepLines/>
              <w:jc w:val="center"/>
              <w:rPr>
                <w:rFonts w:ascii="Arial" w:hAnsi="Arial" w:cs="Arial"/>
                <w:sz w:val="20"/>
                <w:szCs w:val="20"/>
              </w:rPr>
            </w:pPr>
            <w:r>
              <w:rPr>
                <w:rFonts w:ascii="Arial" w:hAnsi="Arial" w:cs="Arial"/>
                <w:sz w:val="20"/>
                <w:szCs w:val="20"/>
              </w:rPr>
              <w:t>1,047</w:t>
            </w:r>
          </w:p>
        </w:tc>
      </w:tr>
      <w:tr w:rsidR="00DA4753" w14:paraId="71F2E091" w14:textId="77777777" w:rsidTr="00DA4753">
        <w:trPr>
          <w:jc w:val="center"/>
        </w:trPr>
        <w:tc>
          <w:tcPr>
            <w:tcW w:w="1378" w:type="dxa"/>
            <w:vMerge/>
            <w:shd w:val="clear" w:color="auto" w:fill="auto"/>
          </w:tcPr>
          <w:p w14:paraId="21F57C0A" w14:textId="77777777" w:rsidR="00DA4753" w:rsidRPr="009C75E1" w:rsidRDefault="00DA4753" w:rsidP="00DA4753">
            <w:pPr>
              <w:keepNext/>
              <w:keepLines/>
              <w:rPr>
                <w:rFonts w:ascii="Arial" w:hAnsi="Arial" w:cs="Arial"/>
                <w:sz w:val="20"/>
                <w:szCs w:val="20"/>
              </w:rPr>
            </w:pPr>
          </w:p>
        </w:tc>
        <w:tc>
          <w:tcPr>
            <w:tcW w:w="1953" w:type="dxa"/>
            <w:shd w:val="clear" w:color="auto" w:fill="auto"/>
          </w:tcPr>
          <w:p w14:paraId="61A447A6" w14:textId="77777777" w:rsidR="00DA4753" w:rsidRPr="009C75E1" w:rsidRDefault="00DA4753" w:rsidP="00DA4753">
            <w:pPr>
              <w:keepNext/>
              <w:keepLines/>
              <w:rPr>
                <w:rFonts w:ascii="Arial" w:hAnsi="Arial" w:cs="Arial"/>
                <w:sz w:val="20"/>
                <w:szCs w:val="20"/>
              </w:rPr>
            </w:pPr>
            <w:r w:rsidRPr="009C75E1">
              <w:rPr>
                <w:rFonts w:ascii="Arial" w:hAnsi="Arial" w:cs="Arial"/>
                <w:sz w:val="20"/>
                <w:szCs w:val="20"/>
              </w:rPr>
              <w:t>% Load Impact</w:t>
            </w:r>
          </w:p>
        </w:tc>
        <w:tc>
          <w:tcPr>
            <w:tcW w:w="1512" w:type="dxa"/>
            <w:shd w:val="clear" w:color="auto" w:fill="auto"/>
            <w:vAlign w:val="center"/>
          </w:tcPr>
          <w:p w14:paraId="7FA0ED64" w14:textId="32F744B0" w:rsidR="00DA4753" w:rsidRPr="009C75E1" w:rsidRDefault="00DA4753" w:rsidP="00DA4753">
            <w:pPr>
              <w:keepNext/>
              <w:keepLines/>
              <w:jc w:val="center"/>
              <w:rPr>
                <w:rFonts w:ascii="Arial" w:hAnsi="Arial" w:cs="Arial"/>
                <w:sz w:val="20"/>
                <w:szCs w:val="20"/>
              </w:rPr>
            </w:pPr>
            <w:r>
              <w:rPr>
                <w:rFonts w:ascii="Arial" w:hAnsi="Arial" w:cs="Arial"/>
                <w:sz w:val="20"/>
                <w:szCs w:val="20"/>
              </w:rPr>
              <w:t>74.3%</w:t>
            </w:r>
          </w:p>
        </w:tc>
        <w:tc>
          <w:tcPr>
            <w:tcW w:w="1512" w:type="dxa"/>
            <w:shd w:val="clear" w:color="auto" w:fill="auto"/>
            <w:vAlign w:val="center"/>
          </w:tcPr>
          <w:p w14:paraId="5BC00E56" w14:textId="7DD4C826" w:rsidR="00DA4753" w:rsidRPr="009C75E1" w:rsidRDefault="00DA4753" w:rsidP="00DA4753">
            <w:pPr>
              <w:keepNext/>
              <w:keepLines/>
              <w:jc w:val="center"/>
              <w:rPr>
                <w:rFonts w:ascii="Arial" w:hAnsi="Arial" w:cs="Arial"/>
                <w:sz w:val="20"/>
                <w:szCs w:val="20"/>
              </w:rPr>
            </w:pPr>
            <w:r>
              <w:rPr>
                <w:rFonts w:ascii="Arial" w:hAnsi="Arial" w:cs="Arial"/>
                <w:sz w:val="20"/>
                <w:szCs w:val="20"/>
              </w:rPr>
              <w:t>79.8%</w:t>
            </w:r>
          </w:p>
        </w:tc>
      </w:tr>
    </w:tbl>
    <w:p w14:paraId="0D9E0707" w14:textId="77777777" w:rsidR="00DA4753" w:rsidRDefault="00DA4753" w:rsidP="00DA4753"/>
    <w:p w14:paraId="02803DD6" w14:textId="4E64971F" w:rsidR="00DA4753" w:rsidRDefault="00F7199D" w:rsidP="00DA4753">
      <w:r>
        <w:t>There are substantially fewer service a</w:t>
      </w:r>
      <w:r w:rsidR="00383F6F">
        <w:t>greement</w:t>
      </w:r>
      <w:r>
        <w:t xml:space="preserve">s in PY2014 (218 versus 280 in PY2013), but the total reference load and load impact did not change very much. As a result, the per-customer reference loads and load impacts are higher in PY2014. </w:t>
      </w:r>
    </w:p>
    <w:p w14:paraId="0CD0E741" w14:textId="77777777" w:rsidR="00DA4753" w:rsidRDefault="00DA4753" w:rsidP="00DA4753">
      <w:pPr>
        <w:pStyle w:val="Heading3"/>
      </w:pPr>
      <w:bookmarkStart w:id="203" w:name="_Toc383597953"/>
      <w:bookmarkStart w:id="204" w:name="_Toc415488977"/>
      <w:r>
        <w:t>6.1.2 Previous versus current ex ante</w:t>
      </w:r>
      <w:bookmarkEnd w:id="203"/>
      <w:bookmarkEnd w:id="204"/>
    </w:p>
    <w:p w14:paraId="4544580C" w14:textId="1064D140" w:rsidR="00DA4753" w:rsidRDefault="00DA4753" w:rsidP="00DA4753">
      <w:r>
        <w:t xml:space="preserve">In this sub-section, we compare the ex ante forecast prepared following PY 2013 (the “previous study”) to the ex ante forecast contained in this study (the “current study”). Table 6.2 contains this comparison for the August 2015 utility-specific 1-in-2 peak month day forecast. </w:t>
      </w:r>
    </w:p>
    <w:p w14:paraId="69F28E01" w14:textId="77777777" w:rsidR="00DA4753" w:rsidRDefault="00DA4753" w:rsidP="00DA4753"/>
    <w:p w14:paraId="193E9C20" w14:textId="77777777" w:rsidR="00DA4753" w:rsidRDefault="00DA4753" w:rsidP="00DA4753">
      <w:pPr>
        <w:pStyle w:val="TableCaption"/>
        <w:keepNext/>
        <w:keepLines/>
        <w:rPr>
          <w:i/>
        </w:rPr>
      </w:pPr>
      <w:bookmarkStart w:id="205" w:name="_Toc383598017"/>
      <w:bookmarkStart w:id="206" w:name="_Toc415489026"/>
      <w:r w:rsidRPr="00376F46">
        <w:lastRenderedPageBreak/>
        <w:t xml:space="preserve">Table </w:t>
      </w:r>
      <w:r>
        <w:t>6</w:t>
      </w:r>
      <w:r w:rsidRPr="00376F46">
        <w:t>.</w:t>
      </w:r>
      <w:r>
        <w:t>2</w:t>
      </w:r>
      <w:r w:rsidRPr="00376F46">
        <w:t xml:space="preserve">: Comparison of </w:t>
      </w:r>
      <w:r>
        <w:t xml:space="preserve">Ex Ante </w:t>
      </w:r>
      <w:r w:rsidRPr="00376F46">
        <w:t xml:space="preserve">Impacts </w:t>
      </w:r>
      <w:r>
        <w:t xml:space="preserve">from </w:t>
      </w:r>
      <w:r w:rsidRPr="00376F46">
        <w:t>PY 201</w:t>
      </w:r>
      <w:r>
        <w:t>3 and</w:t>
      </w:r>
      <w:r w:rsidRPr="00376F46">
        <w:t xml:space="preserve"> PY 201</w:t>
      </w:r>
      <w:r>
        <w:t>4 Studies</w:t>
      </w:r>
      <w:r w:rsidRPr="00376F46">
        <w:t xml:space="preserve">, </w:t>
      </w:r>
      <w:r>
        <w:rPr>
          <w:i/>
        </w:rPr>
        <w:t>P</w:t>
      </w:r>
      <w:r w:rsidRPr="00376F46">
        <w:rPr>
          <w:i/>
        </w:rPr>
        <w:t>G&amp;E</w:t>
      </w:r>
      <w:bookmarkEnd w:id="205"/>
      <w:bookmarkEnd w:id="20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980"/>
        <w:gridCol w:w="1476"/>
        <w:gridCol w:w="1404"/>
      </w:tblGrid>
      <w:tr w:rsidR="00EB76B2" w14:paraId="487328F5" w14:textId="77777777" w:rsidTr="00173834">
        <w:trPr>
          <w:jc w:val="center"/>
        </w:trPr>
        <w:tc>
          <w:tcPr>
            <w:tcW w:w="1188" w:type="dxa"/>
            <w:shd w:val="clear" w:color="auto" w:fill="D9E2F3"/>
            <w:vAlign w:val="center"/>
          </w:tcPr>
          <w:p w14:paraId="186D1032" w14:textId="77777777" w:rsidR="00EB76B2" w:rsidRPr="009C75E1" w:rsidRDefault="00EB76B2" w:rsidP="00173834">
            <w:pPr>
              <w:keepNext/>
              <w:keepLines/>
              <w:jc w:val="center"/>
              <w:rPr>
                <w:rFonts w:ascii="Arial" w:hAnsi="Arial" w:cs="Arial"/>
                <w:b/>
                <w:sz w:val="20"/>
                <w:szCs w:val="20"/>
              </w:rPr>
            </w:pPr>
            <w:r w:rsidRPr="009C75E1">
              <w:rPr>
                <w:rFonts w:ascii="Arial" w:hAnsi="Arial" w:cs="Arial"/>
                <w:b/>
                <w:sz w:val="20"/>
                <w:szCs w:val="20"/>
              </w:rPr>
              <w:t>Level</w:t>
            </w:r>
          </w:p>
        </w:tc>
        <w:tc>
          <w:tcPr>
            <w:tcW w:w="1980" w:type="dxa"/>
            <w:shd w:val="clear" w:color="auto" w:fill="D9E2F3"/>
            <w:vAlign w:val="center"/>
          </w:tcPr>
          <w:p w14:paraId="2B131A5E" w14:textId="77777777" w:rsidR="00EB76B2" w:rsidRPr="009C75E1" w:rsidRDefault="00EB76B2" w:rsidP="00173834">
            <w:pPr>
              <w:keepNext/>
              <w:keepLines/>
              <w:jc w:val="center"/>
              <w:rPr>
                <w:rFonts w:ascii="Arial" w:hAnsi="Arial" w:cs="Arial"/>
                <w:b/>
                <w:sz w:val="20"/>
                <w:szCs w:val="20"/>
              </w:rPr>
            </w:pPr>
            <w:r w:rsidRPr="009C75E1">
              <w:rPr>
                <w:rFonts w:ascii="Arial" w:hAnsi="Arial" w:cs="Arial"/>
                <w:b/>
                <w:sz w:val="20"/>
                <w:szCs w:val="20"/>
              </w:rPr>
              <w:t>Outcome</w:t>
            </w:r>
          </w:p>
        </w:tc>
        <w:tc>
          <w:tcPr>
            <w:tcW w:w="1476" w:type="dxa"/>
            <w:shd w:val="clear" w:color="auto" w:fill="D9E2F3"/>
            <w:vAlign w:val="center"/>
          </w:tcPr>
          <w:p w14:paraId="16E75793" w14:textId="77777777" w:rsidR="00EB76B2" w:rsidRPr="009C75E1" w:rsidRDefault="00EB76B2" w:rsidP="00173834">
            <w:pPr>
              <w:keepNext/>
              <w:keepLines/>
              <w:jc w:val="center"/>
              <w:rPr>
                <w:rFonts w:ascii="Arial" w:hAnsi="Arial" w:cs="Arial"/>
                <w:b/>
                <w:sz w:val="20"/>
                <w:szCs w:val="20"/>
              </w:rPr>
            </w:pPr>
          </w:p>
          <w:p w14:paraId="44176A8F" w14:textId="77777777" w:rsidR="00EB76B2" w:rsidRPr="009C75E1" w:rsidRDefault="00EB76B2" w:rsidP="00173834">
            <w:pPr>
              <w:keepNext/>
              <w:keepLines/>
              <w:jc w:val="center"/>
              <w:rPr>
                <w:rFonts w:ascii="Arial" w:hAnsi="Arial" w:cs="Arial"/>
                <w:b/>
                <w:sz w:val="20"/>
                <w:szCs w:val="20"/>
              </w:rPr>
            </w:pPr>
            <w:r w:rsidRPr="009C75E1">
              <w:rPr>
                <w:rFonts w:ascii="Arial" w:hAnsi="Arial" w:cs="Arial"/>
                <w:b/>
                <w:sz w:val="20"/>
                <w:szCs w:val="20"/>
              </w:rPr>
              <w:t>Previous</w:t>
            </w:r>
            <w:r>
              <w:rPr>
                <w:rFonts w:ascii="Arial" w:hAnsi="Arial" w:cs="Arial"/>
                <w:b/>
                <w:sz w:val="20"/>
                <w:szCs w:val="20"/>
              </w:rPr>
              <w:t xml:space="preserve"> Study 2015</w:t>
            </w:r>
          </w:p>
          <w:p w14:paraId="515FC6B7" w14:textId="77777777" w:rsidR="00EB76B2" w:rsidRPr="009C75E1" w:rsidRDefault="00EB76B2" w:rsidP="00173834">
            <w:pPr>
              <w:keepNext/>
              <w:keepLines/>
              <w:jc w:val="center"/>
              <w:rPr>
                <w:rFonts w:ascii="Arial" w:hAnsi="Arial" w:cs="Arial"/>
                <w:b/>
                <w:sz w:val="20"/>
                <w:szCs w:val="20"/>
              </w:rPr>
            </w:pPr>
          </w:p>
        </w:tc>
        <w:tc>
          <w:tcPr>
            <w:tcW w:w="1404" w:type="dxa"/>
            <w:shd w:val="clear" w:color="auto" w:fill="D9E2F3"/>
            <w:vAlign w:val="center"/>
          </w:tcPr>
          <w:p w14:paraId="6257415B" w14:textId="77777777" w:rsidR="00EB76B2" w:rsidRPr="009C75E1" w:rsidRDefault="00EB76B2" w:rsidP="00173834">
            <w:pPr>
              <w:keepNext/>
              <w:keepLines/>
              <w:jc w:val="center"/>
              <w:rPr>
                <w:rFonts w:ascii="Arial" w:hAnsi="Arial" w:cs="Arial"/>
                <w:b/>
                <w:sz w:val="20"/>
                <w:szCs w:val="20"/>
              </w:rPr>
            </w:pPr>
            <w:r w:rsidRPr="009C75E1">
              <w:rPr>
                <w:rFonts w:ascii="Arial" w:hAnsi="Arial" w:cs="Arial"/>
                <w:b/>
                <w:sz w:val="20"/>
                <w:szCs w:val="20"/>
              </w:rPr>
              <w:t>Current</w:t>
            </w:r>
            <w:r>
              <w:rPr>
                <w:rFonts w:ascii="Arial" w:hAnsi="Arial" w:cs="Arial"/>
                <w:b/>
                <w:sz w:val="20"/>
                <w:szCs w:val="20"/>
              </w:rPr>
              <w:t xml:space="preserve"> Study</w:t>
            </w:r>
            <w:r w:rsidRPr="009C75E1">
              <w:rPr>
                <w:rFonts w:ascii="Arial" w:hAnsi="Arial" w:cs="Arial"/>
                <w:b/>
                <w:sz w:val="20"/>
                <w:szCs w:val="20"/>
              </w:rPr>
              <w:t xml:space="preserve"> 201</w:t>
            </w:r>
            <w:r>
              <w:rPr>
                <w:rFonts w:ascii="Arial" w:hAnsi="Arial" w:cs="Arial"/>
                <w:b/>
                <w:sz w:val="20"/>
                <w:szCs w:val="20"/>
              </w:rPr>
              <w:t>5</w:t>
            </w:r>
          </w:p>
        </w:tc>
      </w:tr>
      <w:tr w:rsidR="00257A58" w14:paraId="4F8E5F21" w14:textId="77777777" w:rsidTr="00173834">
        <w:trPr>
          <w:jc w:val="center"/>
        </w:trPr>
        <w:tc>
          <w:tcPr>
            <w:tcW w:w="1188" w:type="dxa"/>
            <w:vMerge w:val="restart"/>
            <w:shd w:val="clear" w:color="auto" w:fill="auto"/>
            <w:vAlign w:val="center"/>
          </w:tcPr>
          <w:p w14:paraId="04F7243C" w14:textId="77777777" w:rsidR="00257A58" w:rsidRPr="009C75E1" w:rsidRDefault="00257A58" w:rsidP="00173834">
            <w:pPr>
              <w:keepNext/>
              <w:keepLines/>
              <w:rPr>
                <w:rFonts w:ascii="Arial" w:hAnsi="Arial" w:cs="Arial"/>
                <w:b/>
                <w:sz w:val="20"/>
                <w:szCs w:val="20"/>
              </w:rPr>
            </w:pPr>
            <w:r w:rsidRPr="009C75E1">
              <w:rPr>
                <w:rFonts w:ascii="Arial" w:hAnsi="Arial" w:cs="Arial"/>
                <w:b/>
                <w:sz w:val="20"/>
                <w:szCs w:val="20"/>
              </w:rPr>
              <w:t>Total</w:t>
            </w:r>
          </w:p>
        </w:tc>
        <w:tc>
          <w:tcPr>
            <w:tcW w:w="1980" w:type="dxa"/>
            <w:shd w:val="clear" w:color="auto" w:fill="auto"/>
          </w:tcPr>
          <w:p w14:paraId="1835D47C" w14:textId="77777777" w:rsidR="00257A58" w:rsidRPr="009C75E1" w:rsidRDefault="00257A58" w:rsidP="00173834">
            <w:pPr>
              <w:keepNext/>
              <w:keepLines/>
              <w:rPr>
                <w:rFonts w:ascii="Arial" w:hAnsi="Arial" w:cs="Arial"/>
                <w:sz w:val="20"/>
                <w:szCs w:val="20"/>
              </w:rPr>
            </w:pPr>
            <w:r w:rsidRPr="009C75E1">
              <w:rPr>
                <w:rFonts w:ascii="Arial" w:hAnsi="Arial" w:cs="Arial"/>
                <w:sz w:val="20"/>
                <w:szCs w:val="20"/>
              </w:rPr>
              <w:t># SAIDs</w:t>
            </w:r>
          </w:p>
        </w:tc>
        <w:tc>
          <w:tcPr>
            <w:tcW w:w="1476" w:type="dxa"/>
            <w:shd w:val="clear" w:color="auto" w:fill="auto"/>
          </w:tcPr>
          <w:p w14:paraId="642565D9" w14:textId="323F95F8" w:rsidR="00257A58" w:rsidRPr="009C75E1" w:rsidRDefault="00257A58" w:rsidP="00173834">
            <w:pPr>
              <w:keepNext/>
              <w:keepLines/>
              <w:jc w:val="center"/>
              <w:rPr>
                <w:rFonts w:ascii="Arial" w:hAnsi="Arial" w:cs="Arial"/>
                <w:sz w:val="20"/>
                <w:szCs w:val="20"/>
              </w:rPr>
            </w:pPr>
            <w:r>
              <w:rPr>
                <w:rFonts w:ascii="Arial" w:hAnsi="Arial" w:cs="Arial"/>
                <w:sz w:val="20"/>
                <w:szCs w:val="20"/>
              </w:rPr>
              <w:t>218</w:t>
            </w:r>
          </w:p>
        </w:tc>
        <w:tc>
          <w:tcPr>
            <w:tcW w:w="1404" w:type="dxa"/>
            <w:shd w:val="clear" w:color="auto" w:fill="auto"/>
          </w:tcPr>
          <w:p w14:paraId="09C116A5" w14:textId="58661C36" w:rsidR="00257A58" w:rsidRPr="009C75E1" w:rsidRDefault="00257A58" w:rsidP="00173834">
            <w:pPr>
              <w:keepNext/>
              <w:keepLines/>
              <w:jc w:val="center"/>
              <w:rPr>
                <w:rFonts w:ascii="Arial" w:hAnsi="Arial" w:cs="Arial"/>
                <w:sz w:val="20"/>
                <w:szCs w:val="20"/>
              </w:rPr>
            </w:pPr>
            <w:r>
              <w:rPr>
                <w:rFonts w:ascii="Arial" w:hAnsi="Arial" w:cs="Arial"/>
                <w:sz w:val="20"/>
                <w:szCs w:val="20"/>
              </w:rPr>
              <w:t>203</w:t>
            </w:r>
          </w:p>
        </w:tc>
      </w:tr>
      <w:tr w:rsidR="00257A58" w14:paraId="674F1E68" w14:textId="77777777" w:rsidTr="00173834">
        <w:trPr>
          <w:trHeight w:val="242"/>
          <w:jc w:val="center"/>
        </w:trPr>
        <w:tc>
          <w:tcPr>
            <w:tcW w:w="1188" w:type="dxa"/>
            <w:vMerge/>
            <w:shd w:val="clear" w:color="auto" w:fill="auto"/>
            <w:vAlign w:val="center"/>
          </w:tcPr>
          <w:p w14:paraId="23E44EC1" w14:textId="77777777" w:rsidR="00257A58" w:rsidRPr="009C75E1" w:rsidRDefault="00257A58" w:rsidP="00173834">
            <w:pPr>
              <w:keepNext/>
              <w:keepLines/>
              <w:rPr>
                <w:rFonts w:ascii="Arial" w:hAnsi="Arial" w:cs="Arial"/>
                <w:sz w:val="20"/>
                <w:szCs w:val="20"/>
              </w:rPr>
            </w:pPr>
          </w:p>
        </w:tc>
        <w:tc>
          <w:tcPr>
            <w:tcW w:w="1980" w:type="dxa"/>
            <w:shd w:val="clear" w:color="auto" w:fill="auto"/>
          </w:tcPr>
          <w:p w14:paraId="08AE0CD2" w14:textId="77777777" w:rsidR="00257A58" w:rsidRPr="009C75E1" w:rsidRDefault="00257A58" w:rsidP="00173834">
            <w:pPr>
              <w:keepNext/>
              <w:keepLines/>
              <w:rPr>
                <w:rFonts w:ascii="Arial" w:hAnsi="Arial" w:cs="Arial"/>
                <w:sz w:val="20"/>
                <w:szCs w:val="20"/>
              </w:rPr>
            </w:pPr>
            <w:r w:rsidRPr="009C75E1">
              <w:rPr>
                <w:rFonts w:ascii="Arial" w:hAnsi="Arial" w:cs="Arial"/>
                <w:sz w:val="20"/>
                <w:szCs w:val="20"/>
              </w:rPr>
              <w:t>Reference (MW)</w:t>
            </w:r>
          </w:p>
        </w:tc>
        <w:tc>
          <w:tcPr>
            <w:tcW w:w="1476" w:type="dxa"/>
            <w:shd w:val="clear" w:color="auto" w:fill="auto"/>
          </w:tcPr>
          <w:p w14:paraId="182E8B70" w14:textId="4C6913A0" w:rsidR="00257A58" w:rsidRPr="009C75E1" w:rsidRDefault="00257A58" w:rsidP="00173834">
            <w:pPr>
              <w:keepNext/>
              <w:keepLines/>
              <w:jc w:val="center"/>
              <w:rPr>
                <w:rFonts w:ascii="Arial" w:hAnsi="Arial" w:cs="Arial"/>
                <w:sz w:val="20"/>
                <w:szCs w:val="20"/>
              </w:rPr>
            </w:pPr>
            <w:r>
              <w:rPr>
                <w:rFonts w:ascii="Arial" w:hAnsi="Arial" w:cs="Arial"/>
                <w:sz w:val="20"/>
                <w:szCs w:val="20"/>
              </w:rPr>
              <w:t>292</w:t>
            </w:r>
          </w:p>
        </w:tc>
        <w:tc>
          <w:tcPr>
            <w:tcW w:w="1404" w:type="dxa"/>
            <w:shd w:val="clear" w:color="auto" w:fill="auto"/>
          </w:tcPr>
          <w:p w14:paraId="4CA8158A" w14:textId="605517E9" w:rsidR="00257A58" w:rsidRPr="009C75E1" w:rsidRDefault="00257A58" w:rsidP="00173834">
            <w:pPr>
              <w:keepNext/>
              <w:keepLines/>
              <w:jc w:val="center"/>
              <w:rPr>
                <w:rFonts w:ascii="Arial" w:hAnsi="Arial" w:cs="Arial"/>
                <w:sz w:val="20"/>
                <w:szCs w:val="20"/>
              </w:rPr>
            </w:pPr>
            <w:r>
              <w:rPr>
                <w:rFonts w:ascii="Arial" w:hAnsi="Arial" w:cs="Arial"/>
                <w:sz w:val="20"/>
                <w:szCs w:val="20"/>
              </w:rPr>
              <w:t>288</w:t>
            </w:r>
          </w:p>
        </w:tc>
      </w:tr>
      <w:tr w:rsidR="00257A58" w14:paraId="55A6E5B7" w14:textId="77777777" w:rsidTr="00173834">
        <w:trPr>
          <w:jc w:val="center"/>
        </w:trPr>
        <w:tc>
          <w:tcPr>
            <w:tcW w:w="1188" w:type="dxa"/>
            <w:vMerge/>
            <w:shd w:val="clear" w:color="auto" w:fill="auto"/>
            <w:vAlign w:val="center"/>
          </w:tcPr>
          <w:p w14:paraId="614E5C5D" w14:textId="77777777" w:rsidR="00257A58" w:rsidRPr="009C75E1" w:rsidRDefault="00257A58" w:rsidP="00173834">
            <w:pPr>
              <w:keepNext/>
              <w:keepLines/>
              <w:rPr>
                <w:rFonts w:ascii="Arial" w:hAnsi="Arial" w:cs="Arial"/>
                <w:sz w:val="20"/>
                <w:szCs w:val="20"/>
              </w:rPr>
            </w:pPr>
          </w:p>
        </w:tc>
        <w:tc>
          <w:tcPr>
            <w:tcW w:w="1980" w:type="dxa"/>
            <w:shd w:val="clear" w:color="auto" w:fill="auto"/>
          </w:tcPr>
          <w:p w14:paraId="163A3ACC" w14:textId="77777777" w:rsidR="00257A58" w:rsidRPr="009C75E1" w:rsidRDefault="00257A58" w:rsidP="00173834">
            <w:pPr>
              <w:keepNext/>
              <w:keepLines/>
              <w:rPr>
                <w:rFonts w:ascii="Arial" w:hAnsi="Arial" w:cs="Arial"/>
                <w:sz w:val="20"/>
                <w:szCs w:val="20"/>
              </w:rPr>
            </w:pPr>
            <w:r w:rsidRPr="009C75E1">
              <w:rPr>
                <w:rFonts w:ascii="Arial" w:hAnsi="Arial" w:cs="Arial"/>
                <w:sz w:val="20"/>
                <w:szCs w:val="20"/>
              </w:rPr>
              <w:t>Load Impact (MW)</w:t>
            </w:r>
          </w:p>
        </w:tc>
        <w:tc>
          <w:tcPr>
            <w:tcW w:w="1476" w:type="dxa"/>
            <w:shd w:val="clear" w:color="auto" w:fill="auto"/>
          </w:tcPr>
          <w:p w14:paraId="52EE63DF" w14:textId="7622B45E" w:rsidR="00257A58" w:rsidRPr="009C75E1" w:rsidRDefault="00257A58" w:rsidP="00173834">
            <w:pPr>
              <w:keepNext/>
              <w:keepLines/>
              <w:jc w:val="center"/>
              <w:rPr>
                <w:rFonts w:ascii="Arial" w:hAnsi="Arial" w:cs="Arial"/>
                <w:sz w:val="20"/>
                <w:szCs w:val="20"/>
              </w:rPr>
            </w:pPr>
            <w:r>
              <w:rPr>
                <w:rFonts w:ascii="Arial" w:hAnsi="Arial" w:cs="Arial"/>
                <w:sz w:val="20"/>
                <w:szCs w:val="20"/>
              </w:rPr>
              <w:t>231</w:t>
            </w:r>
          </w:p>
        </w:tc>
        <w:tc>
          <w:tcPr>
            <w:tcW w:w="1404" w:type="dxa"/>
            <w:shd w:val="clear" w:color="auto" w:fill="auto"/>
          </w:tcPr>
          <w:p w14:paraId="1E7A51F5" w14:textId="3B832CBF" w:rsidR="00257A58" w:rsidRPr="009C75E1" w:rsidRDefault="00257A58" w:rsidP="00173834">
            <w:pPr>
              <w:keepNext/>
              <w:keepLines/>
              <w:jc w:val="center"/>
              <w:rPr>
                <w:rFonts w:ascii="Arial" w:hAnsi="Arial" w:cs="Arial"/>
                <w:sz w:val="20"/>
                <w:szCs w:val="20"/>
              </w:rPr>
            </w:pPr>
            <w:r>
              <w:rPr>
                <w:rFonts w:ascii="Arial" w:hAnsi="Arial" w:cs="Arial"/>
                <w:sz w:val="20"/>
                <w:szCs w:val="20"/>
              </w:rPr>
              <w:t>246</w:t>
            </w:r>
          </w:p>
        </w:tc>
      </w:tr>
      <w:tr w:rsidR="00257A58" w14:paraId="39C2A246" w14:textId="77777777" w:rsidTr="00173834">
        <w:trPr>
          <w:jc w:val="center"/>
        </w:trPr>
        <w:tc>
          <w:tcPr>
            <w:tcW w:w="1188" w:type="dxa"/>
            <w:vMerge/>
            <w:shd w:val="clear" w:color="auto" w:fill="auto"/>
            <w:vAlign w:val="center"/>
          </w:tcPr>
          <w:p w14:paraId="0AA50E58" w14:textId="77777777" w:rsidR="00257A58" w:rsidRPr="009C75E1" w:rsidRDefault="00257A58" w:rsidP="00173834">
            <w:pPr>
              <w:keepNext/>
              <w:keepLines/>
              <w:rPr>
                <w:rFonts w:ascii="Arial" w:hAnsi="Arial" w:cs="Arial"/>
                <w:sz w:val="20"/>
                <w:szCs w:val="20"/>
              </w:rPr>
            </w:pPr>
          </w:p>
        </w:tc>
        <w:tc>
          <w:tcPr>
            <w:tcW w:w="1980" w:type="dxa"/>
            <w:shd w:val="clear" w:color="auto" w:fill="auto"/>
          </w:tcPr>
          <w:p w14:paraId="7923FC37" w14:textId="35F37897" w:rsidR="00257A58" w:rsidRPr="009C75E1" w:rsidRDefault="00257A58" w:rsidP="00173834">
            <w:pPr>
              <w:keepNext/>
              <w:keepLines/>
              <w:rPr>
                <w:rFonts w:ascii="Arial" w:hAnsi="Arial" w:cs="Arial"/>
                <w:sz w:val="20"/>
                <w:szCs w:val="20"/>
              </w:rPr>
            </w:pPr>
            <w:r>
              <w:rPr>
                <w:rFonts w:ascii="Arial" w:hAnsi="Arial" w:cs="Arial"/>
                <w:sz w:val="20"/>
                <w:szCs w:val="20"/>
              </w:rPr>
              <w:t>FSL (MW)</w:t>
            </w:r>
          </w:p>
        </w:tc>
        <w:tc>
          <w:tcPr>
            <w:tcW w:w="1476" w:type="dxa"/>
            <w:shd w:val="clear" w:color="auto" w:fill="auto"/>
          </w:tcPr>
          <w:p w14:paraId="748FB74C" w14:textId="2C6E72C9" w:rsidR="00257A58" w:rsidRPr="009C75E1" w:rsidRDefault="00257A58" w:rsidP="00173834">
            <w:pPr>
              <w:keepNext/>
              <w:keepLines/>
              <w:jc w:val="center"/>
              <w:rPr>
                <w:rFonts w:ascii="Arial" w:hAnsi="Arial" w:cs="Arial"/>
                <w:sz w:val="20"/>
                <w:szCs w:val="20"/>
              </w:rPr>
            </w:pPr>
            <w:r>
              <w:rPr>
                <w:rFonts w:ascii="Arial" w:hAnsi="Arial" w:cs="Arial"/>
                <w:sz w:val="20"/>
                <w:szCs w:val="20"/>
              </w:rPr>
              <w:t>61.0</w:t>
            </w:r>
          </w:p>
        </w:tc>
        <w:tc>
          <w:tcPr>
            <w:tcW w:w="1404" w:type="dxa"/>
            <w:shd w:val="clear" w:color="auto" w:fill="auto"/>
          </w:tcPr>
          <w:p w14:paraId="4877DF69" w14:textId="325872D4" w:rsidR="00257A58" w:rsidRPr="009C75E1" w:rsidRDefault="00257A58" w:rsidP="00173834">
            <w:pPr>
              <w:keepNext/>
              <w:keepLines/>
              <w:jc w:val="center"/>
              <w:rPr>
                <w:rFonts w:ascii="Arial" w:hAnsi="Arial" w:cs="Arial"/>
                <w:sz w:val="20"/>
                <w:szCs w:val="20"/>
              </w:rPr>
            </w:pPr>
            <w:r>
              <w:rPr>
                <w:rFonts w:ascii="Arial" w:hAnsi="Arial" w:cs="Arial"/>
                <w:sz w:val="20"/>
                <w:szCs w:val="20"/>
              </w:rPr>
              <w:t>47.5</w:t>
            </w:r>
          </w:p>
        </w:tc>
      </w:tr>
      <w:tr w:rsidR="00EB76B2" w14:paraId="09D5D7FE" w14:textId="77777777" w:rsidTr="00173834">
        <w:trPr>
          <w:jc w:val="center"/>
        </w:trPr>
        <w:tc>
          <w:tcPr>
            <w:tcW w:w="1188" w:type="dxa"/>
            <w:vMerge w:val="restart"/>
            <w:shd w:val="clear" w:color="auto" w:fill="auto"/>
            <w:vAlign w:val="center"/>
          </w:tcPr>
          <w:p w14:paraId="7EC782C8" w14:textId="77777777" w:rsidR="00EB76B2" w:rsidRPr="009C75E1" w:rsidRDefault="00EB76B2" w:rsidP="00173834">
            <w:pPr>
              <w:keepNext/>
              <w:keepLines/>
              <w:rPr>
                <w:rFonts w:ascii="Arial" w:hAnsi="Arial" w:cs="Arial"/>
                <w:b/>
                <w:sz w:val="20"/>
                <w:szCs w:val="20"/>
              </w:rPr>
            </w:pPr>
            <w:r w:rsidRPr="009C75E1">
              <w:rPr>
                <w:rFonts w:ascii="Arial" w:hAnsi="Arial" w:cs="Arial"/>
                <w:b/>
                <w:sz w:val="20"/>
                <w:szCs w:val="20"/>
              </w:rPr>
              <w:t>Per SAID</w:t>
            </w:r>
          </w:p>
        </w:tc>
        <w:tc>
          <w:tcPr>
            <w:tcW w:w="1980" w:type="dxa"/>
            <w:shd w:val="clear" w:color="auto" w:fill="auto"/>
          </w:tcPr>
          <w:p w14:paraId="46F122AD" w14:textId="77777777" w:rsidR="00EB76B2" w:rsidRPr="009C75E1" w:rsidRDefault="00EB76B2" w:rsidP="00173834">
            <w:pPr>
              <w:keepNext/>
              <w:keepLines/>
              <w:rPr>
                <w:rFonts w:ascii="Arial" w:hAnsi="Arial" w:cs="Arial"/>
                <w:sz w:val="20"/>
                <w:szCs w:val="20"/>
              </w:rPr>
            </w:pPr>
            <w:r w:rsidRPr="009C75E1">
              <w:rPr>
                <w:rFonts w:ascii="Arial" w:hAnsi="Arial" w:cs="Arial"/>
                <w:sz w:val="20"/>
                <w:szCs w:val="20"/>
              </w:rPr>
              <w:t>Reference (kW)</w:t>
            </w:r>
          </w:p>
        </w:tc>
        <w:tc>
          <w:tcPr>
            <w:tcW w:w="1476" w:type="dxa"/>
            <w:shd w:val="clear" w:color="auto" w:fill="auto"/>
          </w:tcPr>
          <w:p w14:paraId="2BCC0F9B" w14:textId="21929B84" w:rsidR="00EB76B2" w:rsidRPr="009C75E1" w:rsidRDefault="00257A58" w:rsidP="00173834">
            <w:pPr>
              <w:keepNext/>
              <w:keepLines/>
              <w:jc w:val="center"/>
              <w:rPr>
                <w:rFonts w:ascii="Arial" w:hAnsi="Arial" w:cs="Arial"/>
                <w:sz w:val="20"/>
                <w:szCs w:val="20"/>
              </w:rPr>
            </w:pPr>
            <w:r>
              <w:rPr>
                <w:rFonts w:ascii="Arial" w:hAnsi="Arial" w:cs="Arial"/>
                <w:sz w:val="20"/>
                <w:szCs w:val="20"/>
              </w:rPr>
              <w:t>1,340</w:t>
            </w:r>
          </w:p>
        </w:tc>
        <w:tc>
          <w:tcPr>
            <w:tcW w:w="1404" w:type="dxa"/>
            <w:shd w:val="clear" w:color="auto" w:fill="auto"/>
          </w:tcPr>
          <w:p w14:paraId="4E7F6F18" w14:textId="49FAB6B2" w:rsidR="00EB76B2" w:rsidRPr="009C75E1" w:rsidRDefault="00257A58" w:rsidP="00173834">
            <w:pPr>
              <w:keepNext/>
              <w:keepLines/>
              <w:jc w:val="center"/>
              <w:rPr>
                <w:rFonts w:ascii="Arial" w:hAnsi="Arial" w:cs="Arial"/>
                <w:sz w:val="20"/>
                <w:szCs w:val="20"/>
              </w:rPr>
            </w:pPr>
            <w:r>
              <w:rPr>
                <w:rFonts w:ascii="Arial" w:hAnsi="Arial" w:cs="Arial"/>
                <w:sz w:val="20"/>
                <w:szCs w:val="20"/>
              </w:rPr>
              <w:t>1,418</w:t>
            </w:r>
          </w:p>
        </w:tc>
      </w:tr>
      <w:tr w:rsidR="00EB76B2" w14:paraId="0C159345" w14:textId="77777777" w:rsidTr="00173834">
        <w:trPr>
          <w:jc w:val="center"/>
        </w:trPr>
        <w:tc>
          <w:tcPr>
            <w:tcW w:w="1188" w:type="dxa"/>
            <w:vMerge/>
            <w:shd w:val="clear" w:color="auto" w:fill="auto"/>
          </w:tcPr>
          <w:p w14:paraId="6BCBF0CE" w14:textId="77777777" w:rsidR="00EB76B2" w:rsidRPr="009C75E1" w:rsidRDefault="00EB76B2" w:rsidP="00173834">
            <w:pPr>
              <w:keepNext/>
              <w:keepLines/>
              <w:rPr>
                <w:rFonts w:ascii="Arial" w:hAnsi="Arial" w:cs="Arial"/>
                <w:sz w:val="20"/>
                <w:szCs w:val="20"/>
              </w:rPr>
            </w:pPr>
          </w:p>
        </w:tc>
        <w:tc>
          <w:tcPr>
            <w:tcW w:w="1980" w:type="dxa"/>
            <w:shd w:val="clear" w:color="auto" w:fill="auto"/>
          </w:tcPr>
          <w:p w14:paraId="09E1FE42" w14:textId="77777777" w:rsidR="00EB76B2" w:rsidRPr="009C75E1" w:rsidRDefault="00EB76B2" w:rsidP="00173834">
            <w:pPr>
              <w:keepNext/>
              <w:keepLines/>
              <w:rPr>
                <w:rFonts w:ascii="Arial" w:hAnsi="Arial" w:cs="Arial"/>
                <w:sz w:val="20"/>
                <w:szCs w:val="20"/>
              </w:rPr>
            </w:pPr>
            <w:r w:rsidRPr="009C75E1">
              <w:rPr>
                <w:rFonts w:ascii="Arial" w:hAnsi="Arial" w:cs="Arial"/>
                <w:sz w:val="20"/>
                <w:szCs w:val="20"/>
              </w:rPr>
              <w:t>Load Impact (kW)</w:t>
            </w:r>
          </w:p>
        </w:tc>
        <w:tc>
          <w:tcPr>
            <w:tcW w:w="1476" w:type="dxa"/>
            <w:shd w:val="clear" w:color="auto" w:fill="auto"/>
          </w:tcPr>
          <w:p w14:paraId="3DE3E159" w14:textId="2B241050" w:rsidR="00EB76B2" w:rsidRPr="009C75E1" w:rsidRDefault="00257A58" w:rsidP="00173834">
            <w:pPr>
              <w:keepNext/>
              <w:keepLines/>
              <w:jc w:val="center"/>
              <w:rPr>
                <w:rFonts w:ascii="Arial" w:hAnsi="Arial" w:cs="Arial"/>
                <w:sz w:val="20"/>
                <w:szCs w:val="20"/>
              </w:rPr>
            </w:pPr>
            <w:r>
              <w:rPr>
                <w:rFonts w:ascii="Arial" w:hAnsi="Arial" w:cs="Arial"/>
                <w:sz w:val="20"/>
                <w:szCs w:val="20"/>
              </w:rPr>
              <w:t>1,062</w:t>
            </w:r>
          </w:p>
        </w:tc>
        <w:tc>
          <w:tcPr>
            <w:tcW w:w="1404" w:type="dxa"/>
            <w:shd w:val="clear" w:color="auto" w:fill="auto"/>
          </w:tcPr>
          <w:p w14:paraId="6A48F616" w14:textId="31DB6D3E" w:rsidR="00EB76B2" w:rsidRPr="009C75E1" w:rsidRDefault="00257A58" w:rsidP="00173834">
            <w:pPr>
              <w:keepNext/>
              <w:keepLines/>
              <w:jc w:val="center"/>
              <w:rPr>
                <w:rFonts w:ascii="Arial" w:hAnsi="Arial" w:cs="Arial"/>
                <w:sz w:val="20"/>
                <w:szCs w:val="20"/>
              </w:rPr>
            </w:pPr>
            <w:r>
              <w:rPr>
                <w:rFonts w:ascii="Arial" w:hAnsi="Arial" w:cs="Arial"/>
                <w:sz w:val="20"/>
                <w:szCs w:val="20"/>
              </w:rPr>
              <w:t>1,212</w:t>
            </w:r>
          </w:p>
        </w:tc>
      </w:tr>
      <w:tr w:rsidR="00EB76B2" w14:paraId="4C2D03AA" w14:textId="77777777" w:rsidTr="00173834">
        <w:trPr>
          <w:jc w:val="center"/>
        </w:trPr>
        <w:tc>
          <w:tcPr>
            <w:tcW w:w="1188" w:type="dxa"/>
            <w:vMerge/>
            <w:shd w:val="clear" w:color="auto" w:fill="auto"/>
          </w:tcPr>
          <w:p w14:paraId="32BF7969" w14:textId="77777777" w:rsidR="00EB76B2" w:rsidRPr="009C75E1" w:rsidRDefault="00EB76B2" w:rsidP="00173834">
            <w:pPr>
              <w:keepNext/>
              <w:keepLines/>
              <w:rPr>
                <w:rFonts w:ascii="Arial" w:hAnsi="Arial" w:cs="Arial"/>
                <w:sz w:val="20"/>
                <w:szCs w:val="20"/>
              </w:rPr>
            </w:pPr>
          </w:p>
        </w:tc>
        <w:tc>
          <w:tcPr>
            <w:tcW w:w="1980" w:type="dxa"/>
            <w:shd w:val="clear" w:color="auto" w:fill="auto"/>
          </w:tcPr>
          <w:p w14:paraId="76A18596" w14:textId="77777777" w:rsidR="00EB76B2" w:rsidRPr="009C75E1" w:rsidRDefault="00EB76B2" w:rsidP="00173834">
            <w:pPr>
              <w:keepNext/>
              <w:keepLines/>
              <w:rPr>
                <w:rFonts w:ascii="Arial" w:hAnsi="Arial" w:cs="Arial"/>
                <w:sz w:val="20"/>
                <w:szCs w:val="20"/>
              </w:rPr>
            </w:pPr>
            <w:r w:rsidRPr="009C75E1">
              <w:rPr>
                <w:rFonts w:ascii="Arial" w:hAnsi="Arial" w:cs="Arial"/>
                <w:sz w:val="20"/>
                <w:szCs w:val="20"/>
              </w:rPr>
              <w:t>% Load Impact</w:t>
            </w:r>
          </w:p>
        </w:tc>
        <w:tc>
          <w:tcPr>
            <w:tcW w:w="1476" w:type="dxa"/>
            <w:shd w:val="clear" w:color="auto" w:fill="auto"/>
          </w:tcPr>
          <w:p w14:paraId="2D8EC088" w14:textId="238B1EA9" w:rsidR="00EB76B2" w:rsidRPr="009C75E1" w:rsidRDefault="00257A58" w:rsidP="00173834">
            <w:pPr>
              <w:keepNext/>
              <w:keepLines/>
              <w:jc w:val="center"/>
              <w:rPr>
                <w:rFonts w:ascii="Arial" w:hAnsi="Arial" w:cs="Arial"/>
                <w:sz w:val="20"/>
                <w:szCs w:val="20"/>
              </w:rPr>
            </w:pPr>
            <w:r>
              <w:rPr>
                <w:rFonts w:ascii="Arial" w:hAnsi="Arial" w:cs="Arial"/>
                <w:sz w:val="20"/>
                <w:szCs w:val="20"/>
              </w:rPr>
              <w:t>79.2%</w:t>
            </w:r>
          </w:p>
        </w:tc>
        <w:tc>
          <w:tcPr>
            <w:tcW w:w="1404" w:type="dxa"/>
            <w:shd w:val="clear" w:color="auto" w:fill="auto"/>
          </w:tcPr>
          <w:p w14:paraId="587CF0C1" w14:textId="5AC0CF3E" w:rsidR="00EB76B2" w:rsidRPr="009C75E1" w:rsidRDefault="00257A58" w:rsidP="00173834">
            <w:pPr>
              <w:keepNext/>
              <w:keepLines/>
              <w:jc w:val="center"/>
              <w:rPr>
                <w:rFonts w:ascii="Arial" w:hAnsi="Arial" w:cs="Arial"/>
                <w:sz w:val="20"/>
                <w:szCs w:val="20"/>
              </w:rPr>
            </w:pPr>
            <w:r>
              <w:rPr>
                <w:rFonts w:ascii="Arial" w:hAnsi="Arial" w:cs="Arial"/>
                <w:sz w:val="20"/>
                <w:szCs w:val="20"/>
              </w:rPr>
              <w:t>85.5%</w:t>
            </w:r>
          </w:p>
        </w:tc>
      </w:tr>
    </w:tbl>
    <w:p w14:paraId="75F26BA5" w14:textId="77777777" w:rsidR="00EB76B2" w:rsidRDefault="00EB76B2" w:rsidP="00EB76B2"/>
    <w:p w14:paraId="34B7C9FB" w14:textId="75D74856" w:rsidR="00DA4753" w:rsidRDefault="00257A58" w:rsidP="00DA4753">
      <w:r>
        <w:t>The current study includes 15 fewer service a</w:t>
      </w:r>
      <w:r w:rsidR="00383F6F">
        <w:t>greemen</w:t>
      </w:r>
      <w:r>
        <w:t xml:space="preserve">ts, </w:t>
      </w:r>
      <w:r w:rsidR="00EB7908">
        <w:t>but the reference load is quite similar and the load impacts are higher in the current study. One notable change is that the program-level FSL decreased by 13.5 MW across years. The average customer size and load impact increased somewhat across forecasts.</w:t>
      </w:r>
      <w:r w:rsidR="0004544A">
        <w:rPr>
          <w:rStyle w:val="FootnoteReference"/>
        </w:rPr>
        <w:footnoteReference w:id="12"/>
      </w:r>
    </w:p>
    <w:p w14:paraId="09CC6E9D" w14:textId="77777777" w:rsidR="00DA4753" w:rsidRPr="00A11E7E" w:rsidRDefault="00DA4753" w:rsidP="00DA4753">
      <w:pPr>
        <w:pStyle w:val="Heading3"/>
      </w:pPr>
      <w:bookmarkStart w:id="207" w:name="_Toc383597954"/>
      <w:bookmarkStart w:id="208" w:name="_Toc415488978"/>
      <w:r w:rsidRPr="00A11E7E">
        <w:t>6.1.3 Previous ex ante versus current ex post</w:t>
      </w:r>
      <w:bookmarkEnd w:id="207"/>
      <w:bookmarkEnd w:id="208"/>
    </w:p>
    <w:p w14:paraId="02BC3B01" w14:textId="6411C82F" w:rsidR="00DA4753" w:rsidRDefault="00DA4753" w:rsidP="00DA4753">
      <w:r>
        <w:t xml:space="preserve">Table 6.3 provides a comparison of the ex ante forecast of 2014 load impacts prepared following PY2013 and the PY2014 load impacts estimated as part of this study. The ex ante forecast shown in the table represents the typical event day during a </w:t>
      </w:r>
      <w:r w:rsidR="00E97693">
        <w:t xml:space="preserve">utility-specific </w:t>
      </w:r>
      <w:r>
        <w:t xml:space="preserve">1-in-2 weather year. The ex post load impacts are </w:t>
      </w:r>
      <w:r w:rsidR="00E97693">
        <w:t>based on the September 11, 2014 event day</w:t>
      </w:r>
      <w:r>
        <w:t>.</w:t>
      </w:r>
    </w:p>
    <w:p w14:paraId="0A305129" w14:textId="77777777" w:rsidR="00DA4753" w:rsidRDefault="00DA4753" w:rsidP="00DA4753"/>
    <w:p w14:paraId="7AA6436C" w14:textId="342C7180" w:rsidR="00DA4753" w:rsidRDefault="00DA4753" w:rsidP="00DA4753">
      <w:r>
        <w:t xml:space="preserve">The forecast </w:t>
      </w:r>
      <w:r w:rsidR="00E97693">
        <w:t>and ex post load impacts are remarkably close, with the forecast including the correct number of service a</w:t>
      </w:r>
      <w:r w:rsidR="00383F6F">
        <w:t>greement</w:t>
      </w:r>
      <w:r w:rsidR="00E97693">
        <w:t>s and only small differences in reference loads and load impacts.</w:t>
      </w:r>
      <w:r>
        <w:t xml:space="preserve"> </w:t>
      </w:r>
    </w:p>
    <w:p w14:paraId="5775798A" w14:textId="77777777" w:rsidR="00DA4753" w:rsidRDefault="00DA4753" w:rsidP="00DA4753"/>
    <w:p w14:paraId="50C482AA" w14:textId="77777777" w:rsidR="00DA4753" w:rsidRPr="00376F46" w:rsidRDefault="00DA4753" w:rsidP="00DA4753">
      <w:pPr>
        <w:pStyle w:val="TableCaption"/>
        <w:keepNext/>
        <w:keepLines/>
      </w:pPr>
      <w:bookmarkStart w:id="209" w:name="_Toc383598018"/>
      <w:bookmarkStart w:id="210" w:name="_Toc415489027"/>
      <w:r w:rsidRPr="00376F46">
        <w:t xml:space="preserve">Table </w:t>
      </w:r>
      <w:r>
        <w:t>6</w:t>
      </w:r>
      <w:r w:rsidRPr="00376F46">
        <w:t>.</w:t>
      </w:r>
      <w:r>
        <w:t>3</w:t>
      </w:r>
      <w:r w:rsidRPr="00376F46">
        <w:t xml:space="preserve"> Comparison of </w:t>
      </w:r>
      <w:r>
        <w:t xml:space="preserve">Previous Ex Ante and Current Ex Post </w:t>
      </w:r>
      <w:r w:rsidRPr="00376F46">
        <w:t>Impacts</w:t>
      </w:r>
      <w:r>
        <w:t>,</w:t>
      </w:r>
      <w:r w:rsidRPr="00376F46">
        <w:t xml:space="preserve"> </w:t>
      </w:r>
      <w:r>
        <w:rPr>
          <w:i/>
        </w:rPr>
        <w:t>PG&amp;E</w:t>
      </w:r>
      <w:bookmarkEnd w:id="209"/>
      <w:bookmarkEnd w:id="2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994"/>
        <w:gridCol w:w="1771"/>
        <w:gridCol w:w="1772"/>
      </w:tblGrid>
      <w:tr w:rsidR="00DA4753" w14:paraId="42C69AFD" w14:textId="77777777" w:rsidTr="00DA4753">
        <w:trPr>
          <w:jc w:val="center"/>
        </w:trPr>
        <w:tc>
          <w:tcPr>
            <w:tcW w:w="1548" w:type="dxa"/>
            <w:shd w:val="clear" w:color="auto" w:fill="D9E2F3"/>
            <w:vAlign w:val="center"/>
          </w:tcPr>
          <w:p w14:paraId="1DD5A44D" w14:textId="77777777" w:rsidR="00DA4753" w:rsidRPr="009C75E1" w:rsidRDefault="00DA4753" w:rsidP="00DA4753">
            <w:pPr>
              <w:keepNext/>
              <w:keepLines/>
              <w:jc w:val="center"/>
              <w:rPr>
                <w:rFonts w:ascii="Arial" w:hAnsi="Arial" w:cs="Arial"/>
                <w:b/>
                <w:sz w:val="20"/>
                <w:szCs w:val="20"/>
              </w:rPr>
            </w:pPr>
            <w:r w:rsidRPr="009C75E1">
              <w:rPr>
                <w:rFonts w:ascii="Arial" w:hAnsi="Arial" w:cs="Arial"/>
                <w:b/>
                <w:sz w:val="20"/>
                <w:szCs w:val="20"/>
              </w:rPr>
              <w:t>Level</w:t>
            </w:r>
          </w:p>
        </w:tc>
        <w:tc>
          <w:tcPr>
            <w:tcW w:w="1994" w:type="dxa"/>
            <w:shd w:val="clear" w:color="auto" w:fill="D9E2F3"/>
            <w:vAlign w:val="center"/>
          </w:tcPr>
          <w:p w14:paraId="280CF112" w14:textId="77777777" w:rsidR="00DA4753" w:rsidRPr="009C75E1" w:rsidRDefault="00DA4753" w:rsidP="00DA4753">
            <w:pPr>
              <w:keepNext/>
              <w:keepLines/>
              <w:jc w:val="center"/>
              <w:rPr>
                <w:rFonts w:ascii="Arial" w:hAnsi="Arial" w:cs="Arial"/>
                <w:b/>
                <w:sz w:val="20"/>
                <w:szCs w:val="20"/>
              </w:rPr>
            </w:pPr>
            <w:r w:rsidRPr="009C75E1">
              <w:rPr>
                <w:rFonts w:ascii="Arial" w:hAnsi="Arial" w:cs="Arial"/>
                <w:b/>
                <w:sz w:val="20"/>
                <w:szCs w:val="20"/>
              </w:rPr>
              <w:t>Outcome</w:t>
            </w:r>
          </w:p>
        </w:tc>
        <w:tc>
          <w:tcPr>
            <w:tcW w:w="1771" w:type="dxa"/>
            <w:shd w:val="clear" w:color="auto" w:fill="D9E2F3"/>
            <w:vAlign w:val="center"/>
          </w:tcPr>
          <w:p w14:paraId="138903E0" w14:textId="77777777" w:rsidR="00DA4753" w:rsidRPr="009C75E1" w:rsidRDefault="00DA4753" w:rsidP="00DA4753">
            <w:pPr>
              <w:keepNext/>
              <w:keepLines/>
              <w:jc w:val="center"/>
              <w:rPr>
                <w:rFonts w:ascii="Arial" w:hAnsi="Arial" w:cs="Arial"/>
                <w:b/>
                <w:sz w:val="20"/>
                <w:szCs w:val="20"/>
              </w:rPr>
            </w:pPr>
          </w:p>
          <w:p w14:paraId="0A667508" w14:textId="0338B16A" w:rsidR="00DA4753" w:rsidRPr="009C75E1" w:rsidRDefault="00DA4753" w:rsidP="00DA4753">
            <w:pPr>
              <w:keepNext/>
              <w:keepLines/>
              <w:jc w:val="center"/>
              <w:rPr>
                <w:rFonts w:ascii="Arial" w:hAnsi="Arial" w:cs="Arial"/>
                <w:b/>
                <w:sz w:val="20"/>
                <w:szCs w:val="20"/>
              </w:rPr>
            </w:pPr>
            <w:r>
              <w:rPr>
                <w:rFonts w:ascii="Arial" w:hAnsi="Arial" w:cs="Arial"/>
                <w:b/>
                <w:sz w:val="20"/>
                <w:szCs w:val="20"/>
              </w:rPr>
              <w:t>Ex Ante for T</w:t>
            </w:r>
            <w:r w:rsidR="00037AE7">
              <w:rPr>
                <w:rFonts w:ascii="Arial" w:hAnsi="Arial" w:cs="Arial"/>
                <w:b/>
                <w:sz w:val="20"/>
                <w:szCs w:val="20"/>
              </w:rPr>
              <w:t xml:space="preserve">ypical </w:t>
            </w:r>
            <w:r>
              <w:rPr>
                <w:rFonts w:ascii="Arial" w:hAnsi="Arial" w:cs="Arial"/>
                <w:b/>
                <w:sz w:val="20"/>
                <w:szCs w:val="20"/>
              </w:rPr>
              <w:t>E</w:t>
            </w:r>
            <w:r w:rsidR="00037AE7">
              <w:rPr>
                <w:rFonts w:ascii="Arial" w:hAnsi="Arial" w:cs="Arial"/>
                <w:b/>
                <w:sz w:val="20"/>
                <w:szCs w:val="20"/>
              </w:rPr>
              <w:t xml:space="preserve">vent </w:t>
            </w:r>
            <w:r>
              <w:rPr>
                <w:rFonts w:ascii="Arial" w:hAnsi="Arial" w:cs="Arial"/>
                <w:b/>
                <w:sz w:val="20"/>
                <w:szCs w:val="20"/>
              </w:rPr>
              <w:t>D</w:t>
            </w:r>
            <w:r w:rsidR="00037AE7">
              <w:rPr>
                <w:rFonts w:ascii="Arial" w:hAnsi="Arial" w:cs="Arial"/>
                <w:b/>
                <w:sz w:val="20"/>
                <w:szCs w:val="20"/>
              </w:rPr>
              <w:t>ay</w:t>
            </w:r>
            <w:r>
              <w:rPr>
                <w:rFonts w:ascii="Arial" w:hAnsi="Arial" w:cs="Arial"/>
                <w:b/>
                <w:sz w:val="20"/>
                <w:szCs w:val="20"/>
              </w:rPr>
              <w:t xml:space="preserve"> in PY2014, following PY2013 Study</w:t>
            </w:r>
          </w:p>
          <w:p w14:paraId="17A4606B" w14:textId="77777777" w:rsidR="00DA4753" w:rsidRPr="009C75E1" w:rsidRDefault="00DA4753" w:rsidP="00DA4753">
            <w:pPr>
              <w:keepNext/>
              <w:keepLines/>
              <w:jc w:val="center"/>
              <w:rPr>
                <w:rFonts w:ascii="Arial" w:hAnsi="Arial" w:cs="Arial"/>
                <w:b/>
                <w:sz w:val="20"/>
                <w:szCs w:val="20"/>
              </w:rPr>
            </w:pPr>
          </w:p>
        </w:tc>
        <w:tc>
          <w:tcPr>
            <w:tcW w:w="1772" w:type="dxa"/>
            <w:shd w:val="clear" w:color="auto" w:fill="D9E2F3"/>
            <w:vAlign w:val="center"/>
          </w:tcPr>
          <w:p w14:paraId="1813984E" w14:textId="77777777" w:rsidR="00DA4753" w:rsidRPr="009C75E1" w:rsidRDefault="00DA4753" w:rsidP="00DA4753">
            <w:pPr>
              <w:keepNext/>
              <w:keepLines/>
              <w:jc w:val="center"/>
              <w:rPr>
                <w:rFonts w:ascii="Arial" w:hAnsi="Arial" w:cs="Arial"/>
                <w:b/>
                <w:sz w:val="20"/>
                <w:szCs w:val="20"/>
              </w:rPr>
            </w:pPr>
            <w:r>
              <w:rPr>
                <w:rFonts w:ascii="Arial" w:hAnsi="Arial" w:cs="Arial"/>
                <w:b/>
                <w:sz w:val="20"/>
                <w:szCs w:val="20"/>
              </w:rPr>
              <w:t>Ex Post Average Event Day, PY2014</w:t>
            </w:r>
          </w:p>
        </w:tc>
      </w:tr>
      <w:tr w:rsidR="00E97693" w14:paraId="24A4F478" w14:textId="77777777" w:rsidTr="00DA4753">
        <w:trPr>
          <w:jc w:val="center"/>
        </w:trPr>
        <w:tc>
          <w:tcPr>
            <w:tcW w:w="1548" w:type="dxa"/>
            <w:vMerge w:val="restart"/>
            <w:shd w:val="clear" w:color="auto" w:fill="auto"/>
            <w:vAlign w:val="center"/>
          </w:tcPr>
          <w:p w14:paraId="5834ADA8" w14:textId="77777777" w:rsidR="00E97693" w:rsidRPr="009C75E1" w:rsidRDefault="00E97693" w:rsidP="00E97693">
            <w:pPr>
              <w:keepNext/>
              <w:keepLines/>
              <w:rPr>
                <w:rFonts w:ascii="Arial" w:hAnsi="Arial" w:cs="Arial"/>
                <w:b/>
                <w:sz w:val="20"/>
                <w:szCs w:val="20"/>
              </w:rPr>
            </w:pPr>
            <w:r w:rsidRPr="009C75E1">
              <w:rPr>
                <w:rFonts w:ascii="Arial" w:hAnsi="Arial" w:cs="Arial"/>
                <w:b/>
                <w:sz w:val="20"/>
                <w:szCs w:val="20"/>
              </w:rPr>
              <w:t>Total</w:t>
            </w:r>
          </w:p>
        </w:tc>
        <w:tc>
          <w:tcPr>
            <w:tcW w:w="1994" w:type="dxa"/>
            <w:shd w:val="clear" w:color="auto" w:fill="auto"/>
          </w:tcPr>
          <w:p w14:paraId="77F6E663"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 SAIDs</w:t>
            </w:r>
          </w:p>
        </w:tc>
        <w:tc>
          <w:tcPr>
            <w:tcW w:w="1771" w:type="dxa"/>
            <w:shd w:val="clear" w:color="auto" w:fill="auto"/>
          </w:tcPr>
          <w:p w14:paraId="55F1546E" w14:textId="719AF037" w:rsidR="00E97693" w:rsidRPr="009C75E1" w:rsidRDefault="00E97693" w:rsidP="00E97693">
            <w:pPr>
              <w:keepNext/>
              <w:keepLines/>
              <w:jc w:val="center"/>
              <w:rPr>
                <w:rFonts w:ascii="Arial" w:hAnsi="Arial" w:cs="Arial"/>
                <w:sz w:val="20"/>
                <w:szCs w:val="20"/>
              </w:rPr>
            </w:pPr>
            <w:r>
              <w:rPr>
                <w:rFonts w:ascii="Arial" w:hAnsi="Arial" w:cs="Arial"/>
                <w:sz w:val="20"/>
                <w:szCs w:val="20"/>
              </w:rPr>
              <w:t>218</w:t>
            </w:r>
          </w:p>
        </w:tc>
        <w:tc>
          <w:tcPr>
            <w:tcW w:w="1772" w:type="dxa"/>
            <w:shd w:val="clear" w:color="auto" w:fill="auto"/>
            <w:vAlign w:val="center"/>
          </w:tcPr>
          <w:p w14:paraId="2640F287" w14:textId="72DD9660" w:rsidR="00E97693" w:rsidRPr="009C75E1" w:rsidRDefault="00E97693" w:rsidP="00E97693">
            <w:pPr>
              <w:keepNext/>
              <w:keepLines/>
              <w:jc w:val="center"/>
              <w:rPr>
                <w:rFonts w:ascii="Arial" w:hAnsi="Arial" w:cs="Arial"/>
                <w:sz w:val="20"/>
                <w:szCs w:val="20"/>
              </w:rPr>
            </w:pPr>
            <w:r>
              <w:rPr>
                <w:rFonts w:ascii="Arial" w:hAnsi="Arial" w:cs="Arial"/>
                <w:sz w:val="20"/>
                <w:szCs w:val="20"/>
              </w:rPr>
              <w:t>218</w:t>
            </w:r>
          </w:p>
        </w:tc>
      </w:tr>
      <w:tr w:rsidR="00E97693" w14:paraId="455F903C" w14:textId="77777777" w:rsidTr="00DA4753">
        <w:trPr>
          <w:trHeight w:val="242"/>
          <w:jc w:val="center"/>
        </w:trPr>
        <w:tc>
          <w:tcPr>
            <w:tcW w:w="1548" w:type="dxa"/>
            <w:vMerge/>
            <w:shd w:val="clear" w:color="auto" w:fill="auto"/>
            <w:vAlign w:val="center"/>
          </w:tcPr>
          <w:p w14:paraId="674367BF" w14:textId="77777777" w:rsidR="00E97693" w:rsidRPr="009C75E1" w:rsidRDefault="00E97693" w:rsidP="00E97693">
            <w:pPr>
              <w:keepNext/>
              <w:keepLines/>
              <w:rPr>
                <w:rFonts w:ascii="Arial" w:hAnsi="Arial" w:cs="Arial"/>
                <w:sz w:val="20"/>
                <w:szCs w:val="20"/>
              </w:rPr>
            </w:pPr>
          </w:p>
        </w:tc>
        <w:tc>
          <w:tcPr>
            <w:tcW w:w="1994" w:type="dxa"/>
            <w:shd w:val="clear" w:color="auto" w:fill="auto"/>
          </w:tcPr>
          <w:p w14:paraId="1FF00785"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Reference (MW)</w:t>
            </w:r>
          </w:p>
        </w:tc>
        <w:tc>
          <w:tcPr>
            <w:tcW w:w="1771" w:type="dxa"/>
            <w:shd w:val="clear" w:color="auto" w:fill="auto"/>
          </w:tcPr>
          <w:p w14:paraId="565D39D4" w14:textId="5FFE6F9B" w:rsidR="00E97693" w:rsidRPr="009C75E1" w:rsidRDefault="00E97693" w:rsidP="00E97693">
            <w:pPr>
              <w:keepNext/>
              <w:keepLines/>
              <w:jc w:val="center"/>
              <w:rPr>
                <w:rFonts w:ascii="Arial" w:hAnsi="Arial" w:cs="Arial"/>
                <w:sz w:val="20"/>
                <w:szCs w:val="20"/>
              </w:rPr>
            </w:pPr>
            <w:r>
              <w:rPr>
                <w:rFonts w:ascii="Arial" w:hAnsi="Arial" w:cs="Arial"/>
                <w:sz w:val="20"/>
                <w:szCs w:val="20"/>
              </w:rPr>
              <w:t>292</w:t>
            </w:r>
          </w:p>
        </w:tc>
        <w:tc>
          <w:tcPr>
            <w:tcW w:w="1772" w:type="dxa"/>
            <w:shd w:val="clear" w:color="auto" w:fill="auto"/>
            <w:vAlign w:val="center"/>
          </w:tcPr>
          <w:p w14:paraId="518062EA" w14:textId="39DED504" w:rsidR="00E97693" w:rsidRPr="009C75E1" w:rsidRDefault="00E97693" w:rsidP="00E97693">
            <w:pPr>
              <w:keepNext/>
              <w:keepLines/>
              <w:jc w:val="center"/>
              <w:rPr>
                <w:rFonts w:ascii="Arial" w:hAnsi="Arial" w:cs="Arial"/>
                <w:sz w:val="20"/>
                <w:szCs w:val="20"/>
              </w:rPr>
            </w:pPr>
            <w:r>
              <w:rPr>
                <w:rFonts w:ascii="Arial" w:hAnsi="Arial" w:cs="Arial"/>
                <w:sz w:val="20"/>
                <w:szCs w:val="20"/>
              </w:rPr>
              <w:t>286</w:t>
            </w:r>
          </w:p>
        </w:tc>
      </w:tr>
      <w:tr w:rsidR="00E97693" w14:paraId="0BD57193" w14:textId="77777777" w:rsidTr="00DA4753">
        <w:trPr>
          <w:jc w:val="center"/>
        </w:trPr>
        <w:tc>
          <w:tcPr>
            <w:tcW w:w="1548" w:type="dxa"/>
            <w:vMerge/>
            <w:shd w:val="clear" w:color="auto" w:fill="auto"/>
            <w:vAlign w:val="center"/>
          </w:tcPr>
          <w:p w14:paraId="7E2D36D8" w14:textId="77777777" w:rsidR="00E97693" w:rsidRPr="009C75E1" w:rsidRDefault="00E97693" w:rsidP="00E97693">
            <w:pPr>
              <w:keepNext/>
              <w:keepLines/>
              <w:rPr>
                <w:rFonts w:ascii="Arial" w:hAnsi="Arial" w:cs="Arial"/>
                <w:sz w:val="20"/>
                <w:szCs w:val="20"/>
              </w:rPr>
            </w:pPr>
          </w:p>
        </w:tc>
        <w:tc>
          <w:tcPr>
            <w:tcW w:w="1994" w:type="dxa"/>
            <w:shd w:val="clear" w:color="auto" w:fill="auto"/>
          </w:tcPr>
          <w:p w14:paraId="279DEFA3"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Load Impact (MW)</w:t>
            </w:r>
          </w:p>
        </w:tc>
        <w:tc>
          <w:tcPr>
            <w:tcW w:w="1771" w:type="dxa"/>
            <w:shd w:val="clear" w:color="auto" w:fill="auto"/>
          </w:tcPr>
          <w:p w14:paraId="70FEFABB" w14:textId="3F0C7070" w:rsidR="00E97693" w:rsidRPr="009C75E1" w:rsidRDefault="00E97693" w:rsidP="00E97693">
            <w:pPr>
              <w:keepNext/>
              <w:keepLines/>
              <w:jc w:val="center"/>
              <w:rPr>
                <w:rFonts w:ascii="Arial" w:hAnsi="Arial" w:cs="Arial"/>
                <w:sz w:val="20"/>
                <w:szCs w:val="20"/>
              </w:rPr>
            </w:pPr>
            <w:r>
              <w:rPr>
                <w:rFonts w:ascii="Arial" w:hAnsi="Arial" w:cs="Arial"/>
                <w:sz w:val="20"/>
                <w:szCs w:val="20"/>
              </w:rPr>
              <w:t>231</w:t>
            </w:r>
          </w:p>
        </w:tc>
        <w:tc>
          <w:tcPr>
            <w:tcW w:w="1772" w:type="dxa"/>
            <w:shd w:val="clear" w:color="auto" w:fill="auto"/>
            <w:vAlign w:val="center"/>
          </w:tcPr>
          <w:p w14:paraId="00E5D2D2" w14:textId="349EC2E9" w:rsidR="00E97693" w:rsidRPr="009C75E1" w:rsidRDefault="00E97693" w:rsidP="00E97693">
            <w:pPr>
              <w:keepNext/>
              <w:keepLines/>
              <w:jc w:val="center"/>
              <w:rPr>
                <w:rFonts w:ascii="Arial" w:hAnsi="Arial" w:cs="Arial"/>
                <w:sz w:val="20"/>
                <w:szCs w:val="20"/>
              </w:rPr>
            </w:pPr>
            <w:r>
              <w:rPr>
                <w:rFonts w:ascii="Arial" w:hAnsi="Arial" w:cs="Arial"/>
                <w:sz w:val="20"/>
                <w:szCs w:val="20"/>
              </w:rPr>
              <w:t>228</w:t>
            </w:r>
          </w:p>
        </w:tc>
      </w:tr>
      <w:tr w:rsidR="00E97693" w14:paraId="478FEFE3" w14:textId="77777777" w:rsidTr="00DA4753">
        <w:trPr>
          <w:jc w:val="center"/>
        </w:trPr>
        <w:tc>
          <w:tcPr>
            <w:tcW w:w="1548" w:type="dxa"/>
            <w:vMerge w:val="restart"/>
            <w:shd w:val="clear" w:color="auto" w:fill="auto"/>
            <w:vAlign w:val="center"/>
          </w:tcPr>
          <w:p w14:paraId="1672B91F" w14:textId="77777777" w:rsidR="00E97693" w:rsidRPr="009C75E1" w:rsidRDefault="00E97693" w:rsidP="00E97693">
            <w:pPr>
              <w:keepNext/>
              <w:keepLines/>
              <w:rPr>
                <w:rFonts w:ascii="Arial" w:hAnsi="Arial" w:cs="Arial"/>
                <w:b/>
                <w:sz w:val="20"/>
                <w:szCs w:val="20"/>
              </w:rPr>
            </w:pPr>
            <w:r w:rsidRPr="009C75E1">
              <w:rPr>
                <w:rFonts w:ascii="Arial" w:hAnsi="Arial" w:cs="Arial"/>
                <w:b/>
                <w:sz w:val="20"/>
                <w:szCs w:val="20"/>
              </w:rPr>
              <w:t>Per SAID</w:t>
            </w:r>
          </w:p>
        </w:tc>
        <w:tc>
          <w:tcPr>
            <w:tcW w:w="1994" w:type="dxa"/>
            <w:shd w:val="clear" w:color="auto" w:fill="auto"/>
          </w:tcPr>
          <w:p w14:paraId="4A349963"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Reference (kW)</w:t>
            </w:r>
          </w:p>
        </w:tc>
        <w:tc>
          <w:tcPr>
            <w:tcW w:w="1771" w:type="dxa"/>
            <w:shd w:val="clear" w:color="auto" w:fill="auto"/>
          </w:tcPr>
          <w:p w14:paraId="5EED5938" w14:textId="5E611FFC" w:rsidR="00E97693" w:rsidRPr="009C75E1" w:rsidRDefault="00E97693" w:rsidP="00E97693">
            <w:pPr>
              <w:keepNext/>
              <w:keepLines/>
              <w:jc w:val="center"/>
              <w:rPr>
                <w:rFonts w:ascii="Arial" w:hAnsi="Arial" w:cs="Arial"/>
                <w:sz w:val="20"/>
                <w:szCs w:val="20"/>
              </w:rPr>
            </w:pPr>
            <w:r>
              <w:rPr>
                <w:rFonts w:ascii="Arial" w:hAnsi="Arial" w:cs="Arial"/>
                <w:sz w:val="20"/>
                <w:szCs w:val="20"/>
              </w:rPr>
              <w:t>1,340</w:t>
            </w:r>
          </w:p>
        </w:tc>
        <w:tc>
          <w:tcPr>
            <w:tcW w:w="1772" w:type="dxa"/>
            <w:shd w:val="clear" w:color="auto" w:fill="auto"/>
            <w:vAlign w:val="center"/>
          </w:tcPr>
          <w:p w14:paraId="5284B13A" w14:textId="49A830EC" w:rsidR="00E97693" w:rsidRPr="009C75E1" w:rsidRDefault="00E97693" w:rsidP="00E97693">
            <w:pPr>
              <w:keepNext/>
              <w:keepLines/>
              <w:jc w:val="center"/>
              <w:rPr>
                <w:rFonts w:ascii="Arial" w:hAnsi="Arial" w:cs="Arial"/>
                <w:sz w:val="20"/>
                <w:szCs w:val="20"/>
              </w:rPr>
            </w:pPr>
            <w:r>
              <w:rPr>
                <w:rFonts w:ascii="Arial" w:hAnsi="Arial" w:cs="Arial"/>
                <w:sz w:val="20"/>
                <w:szCs w:val="20"/>
              </w:rPr>
              <w:t>1,311</w:t>
            </w:r>
          </w:p>
        </w:tc>
      </w:tr>
      <w:tr w:rsidR="00E97693" w14:paraId="178DFFAB" w14:textId="77777777" w:rsidTr="00DA4753">
        <w:trPr>
          <w:jc w:val="center"/>
        </w:trPr>
        <w:tc>
          <w:tcPr>
            <w:tcW w:w="1548" w:type="dxa"/>
            <w:vMerge/>
            <w:shd w:val="clear" w:color="auto" w:fill="auto"/>
          </w:tcPr>
          <w:p w14:paraId="77F2ADEE" w14:textId="77777777" w:rsidR="00E97693" w:rsidRPr="009C75E1" w:rsidRDefault="00E97693" w:rsidP="00E97693">
            <w:pPr>
              <w:keepNext/>
              <w:keepLines/>
              <w:rPr>
                <w:rFonts w:ascii="Arial" w:hAnsi="Arial" w:cs="Arial"/>
                <w:sz w:val="20"/>
                <w:szCs w:val="20"/>
              </w:rPr>
            </w:pPr>
          </w:p>
        </w:tc>
        <w:tc>
          <w:tcPr>
            <w:tcW w:w="1994" w:type="dxa"/>
            <w:shd w:val="clear" w:color="auto" w:fill="auto"/>
          </w:tcPr>
          <w:p w14:paraId="340774D4"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Load Impact (kW)</w:t>
            </w:r>
          </w:p>
        </w:tc>
        <w:tc>
          <w:tcPr>
            <w:tcW w:w="1771" w:type="dxa"/>
            <w:shd w:val="clear" w:color="auto" w:fill="auto"/>
          </w:tcPr>
          <w:p w14:paraId="1D19BC1D" w14:textId="64A30E1B" w:rsidR="00E97693" w:rsidRPr="009C75E1" w:rsidRDefault="00E97693" w:rsidP="00E97693">
            <w:pPr>
              <w:keepNext/>
              <w:keepLines/>
              <w:jc w:val="center"/>
              <w:rPr>
                <w:rFonts w:ascii="Arial" w:hAnsi="Arial" w:cs="Arial"/>
                <w:sz w:val="20"/>
                <w:szCs w:val="20"/>
              </w:rPr>
            </w:pPr>
            <w:r>
              <w:rPr>
                <w:rFonts w:ascii="Arial" w:hAnsi="Arial" w:cs="Arial"/>
                <w:sz w:val="20"/>
                <w:szCs w:val="20"/>
              </w:rPr>
              <w:t>1,062</w:t>
            </w:r>
          </w:p>
        </w:tc>
        <w:tc>
          <w:tcPr>
            <w:tcW w:w="1772" w:type="dxa"/>
            <w:shd w:val="clear" w:color="auto" w:fill="auto"/>
            <w:vAlign w:val="center"/>
          </w:tcPr>
          <w:p w14:paraId="7F5268DE" w14:textId="5469A420" w:rsidR="00E97693" w:rsidRPr="009C75E1" w:rsidRDefault="00E97693" w:rsidP="00E97693">
            <w:pPr>
              <w:keepNext/>
              <w:keepLines/>
              <w:jc w:val="center"/>
              <w:rPr>
                <w:rFonts w:ascii="Arial" w:hAnsi="Arial" w:cs="Arial"/>
                <w:sz w:val="20"/>
                <w:szCs w:val="20"/>
              </w:rPr>
            </w:pPr>
            <w:r>
              <w:rPr>
                <w:rFonts w:ascii="Arial" w:hAnsi="Arial" w:cs="Arial"/>
                <w:sz w:val="20"/>
                <w:szCs w:val="20"/>
              </w:rPr>
              <w:t>1,047</w:t>
            </w:r>
          </w:p>
        </w:tc>
      </w:tr>
      <w:tr w:rsidR="00E97693" w14:paraId="53CCCAA9" w14:textId="77777777" w:rsidTr="00DA4753">
        <w:trPr>
          <w:jc w:val="center"/>
        </w:trPr>
        <w:tc>
          <w:tcPr>
            <w:tcW w:w="1548" w:type="dxa"/>
            <w:vMerge/>
            <w:shd w:val="clear" w:color="auto" w:fill="auto"/>
          </w:tcPr>
          <w:p w14:paraId="3D95EFB4" w14:textId="77777777" w:rsidR="00E97693" w:rsidRPr="009C75E1" w:rsidRDefault="00E97693" w:rsidP="00E97693">
            <w:pPr>
              <w:keepNext/>
              <w:keepLines/>
              <w:rPr>
                <w:rFonts w:ascii="Arial" w:hAnsi="Arial" w:cs="Arial"/>
                <w:sz w:val="20"/>
                <w:szCs w:val="20"/>
              </w:rPr>
            </w:pPr>
          </w:p>
        </w:tc>
        <w:tc>
          <w:tcPr>
            <w:tcW w:w="1994" w:type="dxa"/>
            <w:shd w:val="clear" w:color="auto" w:fill="auto"/>
          </w:tcPr>
          <w:p w14:paraId="3C19A927"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 Load Impact</w:t>
            </w:r>
          </w:p>
        </w:tc>
        <w:tc>
          <w:tcPr>
            <w:tcW w:w="1771" w:type="dxa"/>
            <w:shd w:val="clear" w:color="auto" w:fill="auto"/>
          </w:tcPr>
          <w:p w14:paraId="3F7B1210" w14:textId="2AF3C396" w:rsidR="00E97693" w:rsidRPr="009C75E1" w:rsidRDefault="00E97693" w:rsidP="00E97693">
            <w:pPr>
              <w:keepNext/>
              <w:keepLines/>
              <w:jc w:val="center"/>
              <w:rPr>
                <w:rFonts w:ascii="Arial" w:hAnsi="Arial" w:cs="Arial"/>
                <w:sz w:val="20"/>
                <w:szCs w:val="20"/>
              </w:rPr>
            </w:pPr>
            <w:r>
              <w:rPr>
                <w:rFonts w:ascii="Arial" w:hAnsi="Arial" w:cs="Arial"/>
                <w:sz w:val="20"/>
                <w:szCs w:val="20"/>
              </w:rPr>
              <w:t>79.2%</w:t>
            </w:r>
          </w:p>
        </w:tc>
        <w:tc>
          <w:tcPr>
            <w:tcW w:w="1772" w:type="dxa"/>
            <w:shd w:val="clear" w:color="auto" w:fill="auto"/>
            <w:vAlign w:val="center"/>
          </w:tcPr>
          <w:p w14:paraId="6F70C1EE" w14:textId="73CA4A05" w:rsidR="00E97693" w:rsidRPr="009C75E1" w:rsidRDefault="00E97693" w:rsidP="00E97693">
            <w:pPr>
              <w:keepNext/>
              <w:keepLines/>
              <w:jc w:val="center"/>
              <w:rPr>
                <w:rFonts w:ascii="Arial" w:hAnsi="Arial" w:cs="Arial"/>
                <w:sz w:val="20"/>
                <w:szCs w:val="20"/>
              </w:rPr>
            </w:pPr>
            <w:r>
              <w:rPr>
                <w:rFonts w:ascii="Arial" w:hAnsi="Arial" w:cs="Arial"/>
                <w:sz w:val="20"/>
                <w:szCs w:val="20"/>
              </w:rPr>
              <w:t>79.8%</w:t>
            </w:r>
          </w:p>
        </w:tc>
      </w:tr>
    </w:tbl>
    <w:p w14:paraId="72879154" w14:textId="77777777" w:rsidR="00DA4753" w:rsidRDefault="00DA4753" w:rsidP="00DA4753"/>
    <w:p w14:paraId="707AE412" w14:textId="77777777" w:rsidR="00DA4753" w:rsidRPr="00A11E7E" w:rsidRDefault="00DA4753" w:rsidP="00DA4753">
      <w:pPr>
        <w:pStyle w:val="Heading3"/>
      </w:pPr>
      <w:bookmarkStart w:id="211" w:name="_Toc383597955"/>
      <w:bookmarkStart w:id="212" w:name="_Toc415488979"/>
      <w:r w:rsidRPr="00A11E7E">
        <w:lastRenderedPageBreak/>
        <w:t>6.1.4 Current ex post versus current ex ante</w:t>
      </w:r>
      <w:bookmarkEnd w:id="211"/>
      <w:bookmarkEnd w:id="212"/>
    </w:p>
    <w:p w14:paraId="67C4ABA0" w14:textId="0A74CF92" w:rsidR="00EB7908" w:rsidRDefault="00782E76" w:rsidP="00DA4753">
      <w:r>
        <w:t>Table 6.</w:t>
      </w:r>
      <w:r w:rsidR="00372CA5">
        <w:t>4</w:t>
      </w:r>
      <w:r>
        <w:t xml:space="preserve"> compares the ex post and ex ante load impacts from this study. The </w:t>
      </w:r>
      <w:r w:rsidR="00DA4753">
        <w:t xml:space="preserve">ex ante load impacts </w:t>
      </w:r>
      <w:r>
        <w:t xml:space="preserve">in the table represent </w:t>
      </w:r>
      <w:r w:rsidR="00DA4753">
        <w:t>the 201</w:t>
      </w:r>
      <w:r>
        <w:t>5 typical event day with utility-specific</w:t>
      </w:r>
      <w:r w:rsidR="00DA4753">
        <w:t xml:space="preserve"> 1-in-2 </w:t>
      </w:r>
      <w:r>
        <w:t>weather conditions. Although program enrollment is somewhat lower, the total load impact is higher in the ex ante forecast than we estimated for the September 11, 2014 event.</w:t>
      </w:r>
    </w:p>
    <w:p w14:paraId="1C153837" w14:textId="77777777" w:rsidR="00EB7908" w:rsidRDefault="00EB7908" w:rsidP="00EB7908"/>
    <w:p w14:paraId="751A5E95" w14:textId="7CD89D1F" w:rsidR="00EB7908" w:rsidRPr="00376F46" w:rsidRDefault="00EB7908" w:rsidP="00EB7908">
      <w:pPr>
        <w:pStyle w:val="TableCaption"/>
        <w:keepNext/>
        <w:keepLines/>
      </w:pPr>
      <w:bookmarkStart w:id="213" w:name="_Toc415489028"/>
      <w:r w:rsidRPr="00376F46">
        <w:t xml:space="preserve">Table </w:t>
      </w:r>
      <w:r>
        <w:t>6</w:t>
      </w:r>
      <w:r w:rsidRPr="00376F46">
        <w:t>.</w:t>
      </w:r>
      <w:r w:rsidR="00372CA5">
        <w:t>4</w:t>
      </w:r>
      <w:r w:rsidRPr="00376F46">
        <w:t xml:space="preserve"> Comparison of </w:t>
      </w:r>
      <w:r>
        <w:t xml:space="preserve">Current Ex Post Ante and Current Ex Ante </w:t>
      </w:r>
      <w:r w:rsidRPr="00376F46">
        <w:t>Impacts</w:t>
      </w:r>
      <w:r>
        <w:t>,</w:t>
      </w:r>
      <w:r w:rsidRPr="00376F46">
        <w:t xml:space="preserve"> </w:t>
      </w:r>
      <w:r>
        <w:rPr>
          <w:i/>
        </w:rPr>
        <w:t>PG&amp;E</w:t>
      </w:r>
      <w:bookmarkEnd w:id="2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994"/>
        <w:gridCol w:w="1771"/>
        <w:gridCol w:w="1772"/>
      </w:tblGrid>
      <w:tr w:rsidR="00EB7908" w14:paraId="3887CB65" w14:textId="77777777" w:rsidTr="00EB7908">
        <w:trPr>
          <w:jc w:val="center"/>
        </w:trPr>
        <w:tc>
          <w:tcPr>
            <w:tcW w:w="1548" w:type="dxa"/>
            <w:shd w:val="clear" w:color="auto" w:fill="D9E2F3"/>
            <w:vAlign w:val="center"/>
          </w:tcPr>
          <w:p w14:paraId="0FAB7AB6" w14:textId="77777777" w:rsidR="00EB7908" w:rsidRPr="009C75E1" w:rsidRDefault="00EB7908" w:rsidP="00173834">
            <w:pPr>
              <w:keepNext/>
              <w:keepLines/>
              <w:jc w:val="center"/>
              <w:rPr>
                <w:rFonts w:ascii="Arial" w:hAnsi="Arial" w:cs="Arial"/>
                <w:b/>
                <w:sz w:val="20"/>
                <w:szCs w:val="20"/>
              </w:rPr>
            </w:pPr>
            <w:r w:rsidRPr="009C75E1">
              <w:rPr>
                <w:rFonts w:ascii="Arial" w:hAnsi="Arial" w:cs="Arial"/>
                <w:b/>
                <w:sz w:val="20"/>
                <w:szCs w:val="20"/>
              </w:rPr>
              <w:t>Level</w:t>
            </w:r>
          </w:p>
        </w:tc>
        <w:tc>
          <w:tcPr>
            <w:tcW w:w="1994" w:type="dxa"/>
            <w:shd w:val="clear" w:color="auto" w:fill="D9E2F3"/>
            <w:vAlign w:val="center"/>
          </w:tcPr>
          <w:p w14:paraId="408F3FE8" w14:textId="77777777" w:rsidR="00EB7908" w:rsidRPr="009C75E1" w:rsidRDefault="00EB7908" w:rsidP="00173834">
            <w:pPr>
              <w:keepNext/>
              <w:keepLines/>
              <w:jc w:val="center"/>
              <w:rPr>
                <w:rFonts w:ascii="Arial" w:hAnsi="Arial" w:cs="Arial"/>
                <w:b/>
                <w:sz w:val="20"/>
                <w:szCs w:val="20"/>
              </w:rPr>
            </w:pPr>
            <w:r w:rsidRPr="009C75E1">
              <w:rPr>
                <w:rFonts w:ascii="Arial" w:hAnsi="Arial" w:cs="Arial"/>
                <w:b/>
                <w:sz w:val="20"/>
                <w:szCs w:val="20"/>
              </w:rPr>
              <w:t>Outcome</w:t>
            </w:r>
          </w:p>
        </w:tc>
        <w:tc>
          <w:tcPr>
            <w:tcW w:w="1771" w:type="dxa"/>
            <w:shd w:val="clear" w:color="auto" w:fill="D9E2F3"/>
            <w:vAlign w:val="center"/>
          </w:tcPr>
          <w:p w14:paraId="77CF95EF" w14:textId="1D884995" w:rsidR="00EB7908" w:rsidRPr="009C75E1" w:rsidRDefault="00EB7908" w:rsidP="00EB7908">
            <w:pPr>
              <w:keepNext/>
              <w:keepLines/>
              <w:jc w:val="center"/>
              <w:rPr>
                <w:rFonts w:ascii="Arial" w:hAnsi="Arial" w:cs="Arial"/>
                <w:b/>
                <w:sz w:val="20"/>
                <w:szCs w:val="20"/>
              </w:rPr>
            </w:pPr>
            <w:r>
              <w:rPr>
                <w:rFonts w:ascii="Arial" w:hAnsi="Arial" w:cs="Arial"/>
                <w:b/>
                <w:sz w:val="20"/>
                <w:szCs w:val="20"/>
              </w:rPr>
              <w:t>Ex Post Average Event Day, PY2014</w:t>
            </w:r>
          </w:p>
        </w:tc>
        <w:tc>
          <w:tcPr>
            <w:tcW w:w="1772" w:type="dxa"/>
            <w:shd w:val="clear" w:color="auto" w:fill="D9E2F3"/>
            <w:vAlign w:val="center"/>
          </w:tcPr>
          <w:p w14:paraId="71B7F03A" w14:textId="17E07E5E" w:rsidR="00EB7908" w:rsidRPr="009C75E1" w:rsidRDefault="00EB7908" w:rsidP="00EB7908">
            <w:pPr>
              <w:keepNext/>
              <w:keepLines/>
              <w:jc w:val="center"/>
              <w:rPr>
                <w:rFonts w:ascii="Arial" w:hAnsi="Arial" w:cs="Arial"/>
                <w:b/>
                <w:sz w:val="20"/>
                <w:szCs w:val="20"/>
              </w:rPr>
            </w:pPr>
            <w:r>
              <w:rPr>
                <w:rFonts w:ascii="Arial" w:hAnsi="Arial" w:cs="Arial"/>
                <w:b/>
                <w:sz w:val="20"/>
                <w:szCs w:val="20"/>
              </w:rPr>
              <w:t>Ex Ante Typical Event Day</w:t>
            </w:r>
          </w:p>
        </w:tc>
      </w:tr>
      <w:tr w:rsidR="00EB7908" w14:paraId="5227717F" w14:textId="77777777" w:rsidTr="00173834">
        <w:trPr>
          <w:jc w:val="center"/>
        </w:trPr>
        <w:tc>
          <w:tcPr>
            <w:tcW w:w="1548" w:type="dxa"/>
            <w:vMerge w:val="restart"/>
            <w:shd w:val="clear" w:color="auto" w:fill="auto"/>
            <w:vAlign w:val="center"/>
          </w:tcPr>
          <w:p w14:paraId="4C92B1F0" w14:textId="77777777" w:rsidR="00EB7908" w:rsidRPr="009C75E1" w:rsidRDefault="00EB7908" w:rsidP="00EB7908">
            <w:pPr>
              <w:keepNext/>
              <w:keepLines/>
              <w:rPr>
                <w:rFonts w:ascii="Arial" w:hAnsi="Arial" w:cs="Arial"/>
                <w:b/>
                <w:sz w:val="20"/>
                <w:szCs w:val="20"/>
              </w:rPr>
            </w:pPr>
            <w:r w:rsidRPr="009C75E1">
              <w:rPr>
                <w:rFonts w:ascii="Arial" w:hAnsi="Arial" w:cs="Arial"/>
                <w:b/>
                <w:sz w:val="20"/>
                <w:szCs w:val="20"/>
              </w:rPr>
              <w:t>Total</w:t>
            </w:r>
          </w:p>
        </w:tc>
        <w:tc>
          <w:tcPr>
            <w:tcW w:w="1994" w:type="dxa"/>
            <w:shd w:val="clear" w:color="auto" w:fill="auto"/>
          </w:tcPr>
          <w:p w14:paraId="32C132A2" w14:textId="77777777" w:rsidR="00EB7908" w:rsidRPr="009C75E1" w:rsidRDefault="00EB7908" w:rsidP="00EB7908">
            <w:pPr>
              <w:keepNext/>
              <w:keepLines/>
              <w:rPr>
                <w:rFonts w:ascii="Arial" w:hAnsi="Arial" w:cs="Arial"/>
                <w:sz w:val="20"/>
                <w:szCs w:val="20"/>
              </w:rPr>
            </w:pPr>
            <w:r w:rsidRPr="009C75E1">
              <w:rPr>
                <w:rFonts w:ascii="Arial" w:hAnsi="Arial" w:cs="Arial"/>
                <w:sz w:val="20"/>
                <w:szCs w:val="20"/>
              </w:rPr>
              <w:t># SAIDs</w:t>
            </w:r>
          </w:p>
        </w:tc>
        <w:tc>
          <w:tcPr>
            <w:tcW w:w="1771" w:type="dxa"/>
            <w:shd w:val="clear" w:color="auto" w:fill="auto"/>
            <w:vAlign w:val="center"/>
          </w:tcPr>
          <w:p w14:paraId="38C040A7" w14:textId="2F5323DC" w:rsidR="00EB7908" w:rsidRPr="009C75E1" w:rsidRDefault="00EB7908" w:rsidP="00EB7908">
            <w:pPr>
              <w:keepNext/>
              <w:keepLines/>
              <w:jc w:val="center"/>
              <w:rPr>
                <w:rFonts w:ascii="Arial" w:hAnsi="Arial" w:cs="Arial"/>
                <w:sz w:val="20"/>
                <w:szCs w:val="20"/>
              </w:rPr>
            </w:pPr>
            <w:r>
              <w:rPr>
                <w:rFonts w:ascii="Arial" w:hAnsi="Arial" w:cs="Arial"/>
                <w:sz w:val="20"/>
                <w:szCs w:val="20"/>
              </w:rPr>
              <w:t>218</w:t>
            </w:r>
          </w:p>
        </w:tc>
        <w:tc>
          <w:tcPr>
            <w:tcW w:w="1772" w:type="dxa"/>
            <w:shd w:val="clear" w:color="auto" w:fill="auto"/>
            <w:vAlign w:val="center"/>
          </w:tcPr>
          <w:p w14:paraId="427D0B4D" w14:textId="705CEC7D" w:rsidR="00EB7908" w:rsidRPr="009C75E1" w:rsidRDefault="00EB7908" w:rsidP="00EB7908">
            <w:pPr>
              <w:keepNext/>
              <w:keepLines/>
              <w:jc w:val="center"/>
              <w:rPr>
                <w:rFonts w:ascii="Arial" w:hAnsi="Arial" w:cs="Arial"/>
                <w:sz w:val="20"/>
                <w:szCs w:val="20"/>
              </w:rPr>
            </w:pPr>
            <w:r>
              <w:rPr>
                <w:rFonts w:ascii="Arial" w:hAnsi="Arial" w:cs="Arial"/>
                <w:sz w:val="20"/>
                <w:szCs w:val="20"/>
              </w:rPr>
              <w:t>203</w:t>
            </w:r>
          </w:p>
        </w:tc>
      </w:tr>
      <w:tr w:rsidR="00EB7908" w14:paraId="400E694E" w14:textId="77777777" w:rsidTr="00173834">
        <w:trPr>
          <w:trHeight w:val="242"/>
          <w:jc w:val="center"/>
        </w:trPr>
        <w:tc>
          <w:tcPr>
            <w:tcW w:w="1548" w:type="dxa"/>
            <w:vMerge/>
            <w:shd w:val="clear" w:color="auto" w:fill="auto"/>
            <w:vAlign w:val="center"/>
          </w:tcPr>
          <w:p w14:paraId="4E39FDE3" w14:textId="77777777" w:rsidR="00EB7908" w:rsidRPr="009C75E1" w:rsidRDefault="00EB7908" w:rsidP="00EB7908">
            <w:pPr>
              <w:keepNext/>
              <w:keepLines/>
              <w:rPr>
                <w:rFonts w:ascii="Arial" w:hAnsi="Arial" w:cs="Arial"/>
                <w:sz w:val="20"/>
                <w:szCs w:val="20"/>
              </w:rPr>
            </w:pPr>
          </w:p>
        </w:tc>
        <w:tc>
          <w:tcPr>
            <w:tcW w:w="1994" w:type="dxa"/>
            <w:shd w:val="clear" w:color="auto" w:fill="auto"/>
          </w:tcPr>
          <w:p w14:paraId="21CDC4C2" w14:textId="77777777" w:rsidR="00EB7908" w:rsidRPr="009C75E1" w:rsidRDefault="00EB7908" w:rsidP="00EB7908">
            <w:pPr>
              <w:keepNext/>
              <w:keepLines/>
              <w:rPr>
                <w:rFonts w:ascii="Arial" w:hAnsi="Arial" w:cs="Arial"/>
                <w:sz w:val="20"/>
                <w:szCs w:val="20"/>
              </w:rPr>
            </w:pPr>
            <w:r w:rsidRPr="009C75E1">
              <w:rPr>
                <w:rFonts w:ascii="Arial" w:hAnsi="Arial" w:cs="Arial"/>
                <w:sz w:val="20"/>
                <w:szCs w:val="20"/>
              </w:rPr>
              <w:t>Reference (MW)</w:t>
            </w:r>
          </w:p>
        </w:tc>
        <w:tc>
          <w:tcPr>
            <w:tcW w:w="1771" w:type="dxa"/>
            <w:shd w:val="clear" w:color="auto" w:fill="auto"/>
            <w:vAlign w:val="center"/>
          </w:tcPr>
          <w:p w14:paraId="6E021167" w14:textId="23937791" w:rsidR="00EB7908" w:rsidRPr="009C75E1" w:rsidRDefault="00EB7908" w:rsidP="00EB7908">
            <w:pPr>
              <w:keepNext/>
              <w:keepLines/>
              <w:jc w:val="center"/>
              <w:rPr>
                <w:rFonts w:ascii="Arial" w:hAnsi="Arial" w:cs="Arial"/>
                <w:sz w:val="20"/>
                <w:szCs w:val="20"/>
              </w:rPr>
            </w:pPr>
            <w:r>
              <w:rPr>
                <w:rFonts w:ascii="Arial" w:hAnsi="Arial" w:cs="Arial"/>
                <w:sz w:val="20"/>
                <w:szCs w:val="20"/>
              </w:rPr>
              <w:t>286</w:t>
            </w:r>
          </w:p>
        </w:tc>
        <w:tc>
          <w:tcPr>
            <w:tcW w:w="1772" w:type="dxa"/>
            <w:shd w:val="clear" w:color="auto" w:fill="auto"/>
            <w:vAlign w:val="center"/>
          </w:tcPr>
          <w:p w14:paraId="60628ED5" w14:textId="37E958F8" w:rsidR="00EB7908" w:rsidRPr="009C75E1" w:rsidRDefault="00EB7908" w:rsidP="00EB7908">
            <w:pPr>
              <w:keepNext/>
              <w:keepLines/>
              <w:jc w:val="center"/>
              <w:rPr>
                <w:rFonts w:ascii="Arial" w:hAnsi="Arial" w:cs="Arial"/>
                <w:sz w:val="20"/>
                <w:szCs w:val="20"/>
              </w:rPr>
            </w:pPr>
            <w:r>
              <w:rPr>
                <w:rFonts w:ascii="Arial" w:hAnsi="Arial" w:cs="Arial"/>
                <w:sz w:val="20"/>
                <w:szCs w:val="20"/>
              </w:rPr>
              <w:t>288</w:t>
            </w:r>
          </w:p>
        </w:tc>
      </w:tr>
      <w:tr w:rsidR="00EB7908" w14:paraId="18CCAA43" w14:textId="77777777" w:rsidTr="00173834">
        <w:trPr>
          <w:jc w:val="center"/>
        </w:trPr>
        <w:tc>
          <w:tcPr>
            <w:tcW w:w="1548" w:type="dxa"/>
            <w:vMerge/>
            <w:shd w:val="clear" w:color="auto" w:fill="auto"/>
            <w:vAlign w:val="center"/>
          </w:tcPr>
          <w:p w14:paraId="03EAACB5" w14:textId="77777777" w:rsidR="00EB7908" w:rsidRPr="009C75E1" w:rsidRDefault="00EB7908" w:rsidP="00EB7908">
            <w:pPr>
              <w:keepNext/>
              <w:keepLines/>
              <w:rPr>
                <w:rFonts w:ascii="Arial" w:hAnsi="Arial" w:cs="Arial"/>
                <w:sz w:val="20"/>
                <w:szCs w:val="20"/>
              </w:rPr>
            </w:pPr>
          </w:p>
        </w:tc>
        <w:tc>
          <w:tcPr>
            <w:tcW w:w="1994" w:type="dxa"/>
            <w:shd w:val="clear" w:color="auto" w:fill="auto"/>
          </w:tcPr>
          <w:p w14:paraId="5CF04749" w14:textId="77777777" w:rsidR="00EB7908" w:rsidRPr="009C75E1" w:rsidRDefault="00EB7908" w:rsidP="00EB7908">
            <w:pPr>
              <w:keepNext/>
              <w:keepLines/>
              <w:rPr>
                <w:rFonts w:ascii="Arial" w:hAnsi="Arial" w:cs="Arial"/>
                <w:sz w:val="20"/>
                <w:szCs w:val="20"/>
              </w:rPr>
            </w:pPr>
            <w:r w:rsidRPr="009C75E1">
              <w:rPr>
                <w:rFonts w:ascii="Arial" w:hAnsi="Arial" w:cs="Arial"/>
                <w:sz w:val="20"/>
                <w:szCs w:val="20"/>
              </w:rPr>
              <w:t>Load Impact (MW)</w:t>
            </w:r>
          </w:p>
        </w:tc>
        <w:tc>
          <w:tcPr>
            <w:tcW w:w="1771" w:type="dxa"/>
            <w:shd w:val="clear" w:color="auto" w:fill="auto"/>
            <w:vAlign w:val="center"/>
          </w:tcPr>
          <w:p w14:paraId="08EBA9D1" w14:textId="6B5EC031" w:rsidR="00EB7908" w:rsidRPr="009C75E1" w:rsidRDefault="00EB7908" w:rsidP="00EB7908">
            <w:pPr>
              <w:keepNext/>
              <w:keepLines/>
              <w:jc w:val="center"/>
              <w:rPr>
                <w:rFonts w:ascii="Arial" w:hAnsi="Arial" w:cs="Arial"/>
                <w:sz w:val="20"/>
                <w:szCs w:val="20"/>
              </w:rPr>
            </w:pPr>
            <w:r>
              <w:rPr>
                <w:rFonts w:ascii="Arial" w:hAnsi="Arial" w:cs="Arial"/>
                <w:sz w:val="20"/>
                <w:szCs w:val="20"/>
              </w:rPr>
              <w:t>228</w:t>
            </w:r>
          </w:p>
        </w:tc>
        <w:tc>
          <w:tcPr>
            <w:tcW w:w="1772" w:type="dxa"/>
            <w:shd w:val="clear" w:color="auto" w:fill="auto"/>
            <w:vAlign w:val="center"/>
          </w:tcPr>
          <w:p w14:paraId="53DE78C9" w14:textId="0E06E8C1" w:rsidR="00EB7908" w:rsidRPr="009C75E1" w:rsidRDefault="00EB7908" w:rsidP="00EB7908">
            <w:pPr>
              <w:keepNext/>
              <w:keepLines/>
              <w:jc w:val="center"/>
              <w:rPr>
                <w:rFonts w:ascii="Arial" w:hAnsi="Arial" w:cs="Arial"/>
                <w:sz w:val="20"/>
                <w:szCs w:val="20"/>
              </w:rPr>
            </w:pPr>
            <w:r>
              <w:rPr>
                <w:rFonts w:ascii="Arial" w:hAnsi="Arial" w:cs="Arial"/>
                <w:sz w:val="20"/>
                <w:szCs w:val="20"/>
              </w:rPr>
              <w:t>246</w:t>
            </w:r>
          </w:p>
        </w:tc>
      </w:tr>
      <w:tr w:rsidR="00EB7908" w14:paraId="72D8805D" w14:textId="77777777" w:rsidTr="00173834">
        <w:trPr>
          <w:jc w:val="center"/>
        </w:trPr>
        <w:tc>
          <w:tcPr>
            <w:tcW w:w="1548" w:type="dxa"/>
            <w:vMerge/>
            <w:shd w:val="clear" w:color="auto" w:fill="auto"/>
            <w:vAlign w:val="center"/>
          </w:tcPr>
          <w:p w14:paraId="388848A5" w14:textId="77777777" w:rsidR="00EB7908" w:rsidRPr="009C75E1" w:rsidRDefault="00EB7908" w:rsidP="00EB7908">
            <w:pPr>
              <w:keepNext/>
              <w:keepLines/>
              <w:rPr>
                <w:rFonts w:ascii="Arial" w:hAnsi="Arial" w:cs="Arial"/>
                <w:sz w:val="20"/>
                <w:szCs w:val="20"/>
              </w:rPr>
            </w:pPr>
          </w:p>
        </w:tc>
        <w:tc>
          <w:tcPr>
            <w:tcW w:w="1994" w:type="dxa"/>
            <w:shd w:val="clear" w:color="auto" w:fill="auto"/>
          </w:tcPr>
          <w:p w14:paraId="5F57A7C6" w14:textId="7A836284" w:rsidR="00EB7908" w:rsidRPr="009C75E1" w:rsidRDefault="00EB7908" w:rsidP="00EB7908">
            <w:pPr>
              <w:keepNext/>
              <w:keepLines/>
              <w:rPr>
                <w:rFonts w:ascii="Arial" w:hAnsi="Arial" w:cs="Arial"/>
                <w:sz w:val="20"/>
                <w:szCs w:val="20"/>
              </w:rPr>
            </w:pPr>
            <w:r>
              <w:rPr>
                <w:rFonts w:ascii="Arial" w:hAnsi="Arial" w:cs="Arial"/>
                <w:sz w:val="20"/>
                <w:szCs w:val="20"/>
              </w:rPr>
              <w:t>FSL (MW)</w:t>
            </w:r>
          </w:p>
        </w:tc>
        <w:tc>
          <w:tcPr>
            <w:tcW w:w="1771" w:type="dxa"/>
            <w:shd w:val="clear" w:color="auto" w:fill="auto"/>
            <w:vAlign w:val="center"/>
          </w:tcPr>
          <w:p w14:paraId="40CC3BDC" w14:textId="1A5CACC6" w:rsidR="00EB7908" w:rsidRDefault="00EB7908" w:rsidP="00EB7908">
            <w:pPr>
              <w:keepNext/>
              <w:keepLines/>
              <w:jc w:val="center"/>
              <w:rPr>
                <w:rFonts w:ascii="Arial" w:hAnsi="Arial" w:cs="Arial"/>
                <w:sz w:val="20"/>
                <w:szCs w:val="20"/>
              </w:rPr>
            </w:pPr>
            <w:r>
              <w:rPr>
                <w:rFonts w:ascii="Arial" w:hAnsi="Arial" w:cs="Arial"/>
                <w:sz w:val="20"/>
                <w:szCs w:val="20"/>
              </w:rPr>
              <w:t>61.8</w:t>
            </w:r>
          </w:p>
        </w:tc>
        <w:tc>
          <w:tcPr>
            <w:tcW w:w="1772" w:type="dxa"/>
            <w:shd w:val="clear" w:color="auto" w:fill="auto"/>
            <w:vAlign w:val="center"/>
          </w:tcPr>
          <w:p w14:paraId="76213418" w14:textId="3A1BF29B" w:rsidR="00EB7908" w:rsidRDefault="00EB7908" w:rsidP="00EB7908">
            <w:pPr>
              <w:keepNext/>
              <w:keepLines/>
              <w:jc w:val="center"/>
              <w:rPr>
                <w:rFonts w:ascii="Arial" w:hAnsi="Arial" w:cs="Arial"/>
                <w:sz w:val="20"/>
                <w:szCs w:val="20"/>
              </w:rPr>
            </w:pPr>
            <w:r>
              <w:rPr>
                <w:rFonts w:ascii="Arial" w:hAnsi="Arial" w:cs="Arial"/>
                <w:sz w:val="20"/>
                <w:szCs w:val="20"/>
              </w:rPr>
              <w:t>47.5</w:t>
            </w:r>
          </w:p>
        </w:tc>
      </w:tr>
      <w:tr w:rsidR="00EB7908" w14:paraId="3E1239F6" w14:textId="77777777" w:rsidTr="00173834">
        <w:trPr>
          <w:jc w:val="center"/>
        </w:trPr>
        <w:tc>
          <w:tcPr>
            <w:tcW w:w="1548" w:type="dxa"/>
            <w:vMerge w:val="restart"/>
            <w:shd w:val="clear" w:color="auto" w:fill="auto"/>
            <w:vAlign w:val="center"/>
          </w:tcPr>
          <w:p w14:paraId="7EAC8DC0" w14:textId="77777777" w:rsidR="00EB7908" w:rsidRPr="009C75E1" w:rsidRDefault="00EB7908" w:rsidP="00EB7908">
            <w:pPr>
              <w:keepNext/>
              <w:keepLines/>
              <w:rPr>
                <w:rFonts w:ascii="Arial" w:hAnsi="Arial" w:cs="Arial"/>
                <w:b/>
                <w:sz w:val="20"/>
                <w:szCs w:val="20"/>
              </w:rPr>
            </w:pPr>
            <w:r w:rsidRPr="009C75E1">
              <w:rPr>
                <w:rFonts w:ascii="Arial" w:hAnsi="Arial" w:cs="Arial"/>
                <w:b/>
                <w:sz w:val="20"/>
                <w:szCs w:val="20"/>
              </w:rPr>
              <w:t>Per SAID</w:t>
            </w:r>
          </w:p>
        </w:tc>
        <w:tc>
          <w:tcPr>
            <w:tcW w:w="1994" w:type="dxa"/>
            <w:shd w:val="clear" w:color="auto" w:fill="auto"/>
          </w:tcPr>
          <w:p w14:paraId="3CC6EE8B" w14:textId="77777777" w:rsidR="00EB7908" w:rsidRPr="009C75E1" w:rsidRDefault="00EB7908" w:rsidP="00EB7908">
            <w:pPr>
              <w:keepNext/>
              <w:keepLines/>
              <w:rPr>
                <w:rFonts w:ascii="Arial" w:hAnsi="Arial" w:cs="Arial"/>
                <w:sz w:val="20"/>
                <w:szCs w:val="20"/>
              </w:rPr>
            </w:pPr>
            <w:r w:rsidRPr="009C75E1">
              <w:rPr>
                <w:rFonts w:ascii="Arial" w:hAnsi="Arial" w:cs="Arial"/>
                <w:sz w:val="20"/>
                <w:szCs w:val="20"/>
              </w:rPr>
              <w:t>Reference (kW)</w:t>
            </w:r>
          </w:p>
        </w:tc>
        <w:tc>
          <w:tcPr>
            <w:tcW w:w="1771" w:type="dxa"/>
            <w:shd w:val="clear" w:color="auto" w:fill="auto"/>
            <w:vAlign w:val="center"/>
          </w:tcPr>
          <w:p w14:paraId="36BA24A3" w14:textId="2CFFF713" w:rsidR="00EB7908" w:rsidRPr="009C75E1" w:rsidRDefault="00EB7908" w:rsidP="00EB7908">
            <w:pPr>
              <w:keepNext/>
              <w:keepLines/>
              <w:jc w:val="center"/>
              <w:rPr>
                <w:rFonts w:ascii="Arial" w:hAnsi="Arial" w:cs="Arial"/>
                <w:sz w:val="20"/>
                <w:szCs w:val="20"/>
              </w:rPr>
            </w:pPr>
            <w:r>
              <w:rPr>
                <w:rFonts w:ascii="Arial" w:hAnsi="Arial" w:cs="Arial"/>
                <w:sz w:val="20"/>
                <w:szCs w:val="20"/>
              </w:rPr>
              <w:t>1,311</w:t>
            </w:r>
          </w:p>
        </w:tc>
        <w:tc>
          <w:tcPr>
            <w:tcW w:w="1772" w:type="dxa"/>
            <w:shd w:val="clear" w:color="auto" w:fill="auto"/>
            <w:vAlign w:val="center"/>
          </w:tcPr>
          <w:p w14:paraId="1E1C4866" w14:textId="0005CD39" w:rsidR="00EB7908" w:rsidRPr="009C75E1" w:rsidRDefault="00EB7908" w:rsidP="00EB7908">
            <w:pPr>
              <w:keepNext/>
              <w:keepLines/>
              <w:jc w:val="center"/>
              <w:rPr>
                <w:rFonts w:ascii="Arial" w:hAnsi="Arial" w:cs="Arial"/>
                <w:sz w:val="20"/>
                <w:szCs w:val="20"/>
              </w:rPr>
            </w:pPr>
            <w:r>
              <w:rPr>
                <w:rFonts w:ascii="Arial" w:hAnsi="Arial" w:cs="Arial"/>
                <w:sz w:val="20"/>
                <w:szCs w:val="20"/>
              </w:rPr>
              <w:t>1,418</w:t>
            </w:r>
          </w:p>
        </w:tc>
      </w:tr>
      <w:tr w:rsidR="00EB7908" w14:paraId="65AA6627" w14:textId="77777777" w:rsidTr="00173834">
        <w:trPr>
          <w:jc w:val="center"/>
        </w:trPr>
        <w:tc>
          <w:tcPr>
            <w:tcW w:w="1548" w:type="dxa"/>
            <w:vMerge/>
            <w:shd w:val="clear" w:color="auto" w:fill="auto"/>
          </w:tcPr>
          <w:p w14:paraId="5C466217" w14:textId="77777777" w:rsidR="00EB7908" w:rsidRPr="009C75E1" w:rsidRDefault="00EB7908" w:rsidP="00EB7908">
            <w:pPr>
              <w:keepNext/>
              <w:keepLines/>
              <w:rPr>
                <w:rFonts w:ascii="Arial" w:hAnsi="Arial" w:cs="Arial"/>
                <w:sz w:val="20"/>
                <w:szCs w:val="20"/>
              </w:rPr>
            </w:pPr>
          </w:p>
        </w:tc>
        <w:tc>
          <w:tcPr>
            <w:tcW w:w="1994" w:type="dxa"/>
            <w:shd w:val="clear" w:color="auto" w:fill="auto"/>
          </w:tcPr>
          <w:p w14:paraId="132DF063" w14:textId="77777777" w:rsidR="00EB7908" w:rsidRPr="009C75E1" w:rsidRDefault="00EB7908" w:rsidP="00EB7908">
            <w:pPr>
              <w:keepNext/>
              <w:keepLines/>
              <w:rPr>
                <w:rFonts w:ascii="Arial" w:hAnsi="Arial" w:cs="Arial"/>
                <w:sz w:val="20"/>
                <w:szCs w:val="20"/>
              </w:rPr>
            </w:pPr>
            <w:r w:rsidRPr="009C75E1">
              <w:rPr>
                <w:rFonts w:ascii="Arial" w:hAnsi="Arial" w:cs="Arial"/>
                <w:sz w:val="20"/>
                <w:szCs w:val="20"/>
              </w:rPr>
              <w:t>Load Impact (kW)</w:t>
            </w:r>
          </w:p>
        </w:tc>
        <w:tc>
          <w:tcPr>
            <w:tcW w:w="1771" w:type="dxa"/>
            <w:shd w:val="clear" w:color="auto" w:fill="auto"/>
            <w:vAlign w:val="center"/>
          </w:tcPr>
          <w:p w14:paraId="646BCC3F" w14:textId="72B658E9" w:rsidR="00EB7908" w:rsidRPr="009C75E1" w:rsidRDefault="00EB7908" w:rsidP="00EB7908">
            <w:pPr>
              <w:keepNext/>
              <w:keepLines/>
              <w:jc w:val="center"/>
              <w:rPr>
                <w:rFonts w:ascii="Arial" w:hAnsi="Arial" w:cs="Arial"/>
                <w:sz w:val="20"/>
                <w:szCs w:val="20"/>
              </w:rPr>
            </w:pPr>
            <w:r>
              <w:rPr>
                <w:rFonts w:ascii="Arial" w:hAnsi="Arial" w:cs="Arial"/>
                <w:sz w:val="20"/>
                <w:szCs w:val="20"/>
              </w:rPr>
              <w:t>1,047</w:t>
            </w:r>
          </w:p>
        </w:tc>
        <w:tc>
          <w:tcPr>
            <w:tcW w:w="1772" w:type="dxa"/>
            <w:shd w:val="clear" w:color="auto" w:fill="auto"/>
            <w:vAlign w:val="center"/>
          </w:tcPr>
          <w:p w14:paraId="16877544" w14:textId="799EAB0B" w:rsidR="00EB7908" w:rsidRPr="009C75E1" w:rsidRDefault="00EB7908" w:rsidP="00EB7908">
            <w:pPr>
              <w:keepNext/>
              <w:keepLines/>
              <w:jc w:val="center"/>
              <w:rPr>
                <w:rFonts w:ascii="Arial" w:hAnsi="Arial" w:cs="Arial"/>
                <w:sz w:val="20"/>
                <w:szCs w:val="20"/>
              </w:rPr>
            </w:pPr>
            <w:r>
              <w:rPr>
                <w:rFonts w:ascii="Arial" w:hAnsi="Arial" w:cs="Arial"/>
                <w:sz w:val="20"/>
                <w:szCs w:val="20"/>
              </w:rPr>
              <w:t>1,212</w:t>
            </w:r>
          </w:p>
        </w:tc>
      </w:tr>
      <w:tr w:rsidR="00EB7908" w14:paraId="3EE1AE3F" w14:textId="77777777" w:rsidTr="00173834">
        <w:trPr>
          <w:jc w:val="center"/>
        </w:trPr>
        <w:tc>
          <w:tcPr>
            <w:tcW w:w="1548" w:type="dxa"/>
            <w:vMerge/>
            <w:shd w:val="clear" w:color="auto" w:fill="auto"/>
          </w:tcPr>
          <w:p w14:paraId="551DC5B3" w14:textId="77777777" w:rsidR="00EB7908" w:rsidRPr="009C75E1" w:rsidRDefault="00EB7908" w:rsidP="00EB7908">
            <w:pPr>
              <w:keepNext/>
              <w:keepLines/>
              <w:rPr>
                <w:rFonts w:ascii="Arial" w:hAnsi="Arial" w:cs="Arial"/>
                <w:sz w:val="20"/>
                <w:szCs w:val="20"/>
              </w:rPr>
            </w:pPr>
          </w:p>
        </w:tc>
        <w:tc>
          <w:tcPr>
            <w:tcW w:w="1994" w:type="dxa"/>
            <w:shd w:val="clear" w:color="auto" w:fill="auto"/>
          </w:tcPr>
          <w:p w14:paraId="72365491" w14:textId="77777777" w:rsidR="00EB7908" w:rsidRPr="009C75E1" w:rsidRDefault="00EB7908" w:rsidP="00EB7908">
            <w:pPr>
              <w:keepNext/>
              <w:keepLines/>
              <w:rPr>
                <w:rFonts w:ascii="Arial" w:hAnsi="Arial" w:cs="Arial"/>
                <w:sz w:val="20"/>
                <w:szCs w:val="20"/>
              </w:rPr>
            </w:pPr>
            <w:r w:rsidRPr="009C75E1">
              <w:rPr>
                <w:rFonts w:ascii="Arial" w:hAnsi="Arial" w:cs="Arial"/>
                <w:sz w:val="20"/>
                <w:szCs w:val="20"/>
              </w:rPr>
              <w:t>% Load Impact</w:t>
            </w:r>
          </w:p>
        </w:tc>
        <w:tc>
          <w:tcPr>
            <w:tcW w:w="1771" w:type="dxa"/>
            <w:shd w:val="clear" w:color="auto" w:fill="auto"/>
            <w:vAlign w:val="center"/>
          </w:tcPr>
          <w:p w14:paraId="29573823" w14:textId="587DC7A6" w:rsidR="00EB7908" w:rsidRPr="009C75E1" w:rsidRDefault="00EB7908" w:rsidP="00EB7908">
            <w:pPr>
              <w:keepNext/>
              <w:keepLines/>
              <w:jc w:val="center"/>
              <w:rPr>
                <w:rFonts w:ascii="Arial" w:hAnsi="Arial" w:cs="Arial"/>
                <w:sz w:val="20"/>
                <w:szCs w:val="20"/>
              </w:rPr>
            </w:pPr>
            <w:r>
              <w:rPr>
                <w:rFonts w:ascii="Arial" w:hAnsi="Arial" w:cs="Arial"/>
                <w:sz w:val="20"/>
                <w:szCs w:val="20"/>
              </w:rPr>
              <w:t>79.8%</w:t>
            </w:r>
          </w:p>
        </w:tc>
        <w:tc>
          <w:tcPr>
            <w:tcW w:w="1772" w:type="dxa"/>
            <w:shd w:val="clear" w:color="auto" w:fill="auto"/>
            <w:vAlign w:val="center"/>
          </w:tcPr>
          <w:p w14:paraId="12115B21" w14:textId="1FEDC75C" w:rsidR="00EB7908" w:rsidRPr="009C75E1" w:rsidRDefault="00EB7908" w:rsidP="00EB7908">
            <w:pPr>
              <w:keepNext/>
              <w:keepLines/>
              <w:jc w:val="center"/>
              <w:rPr>
                <w:rFonts w:ascii="Arial" w:hAnsi="Arial" w:cs="Arial"/>
                <w:sz w:val="20"/>
                <w:szCs w:val="20"/>
              </w:rPr>
            </w:pPr>
            <w:r>
              <w:rPr>
                <w:rFonts w:ascii="Arial" w:hAnsi="Arial" w:cs="Arial"/>
                <w:sz w:val="20"/>
                <w:szCs w:val="20"/>
              </w:rPr>
              <w:t>85.5%</w:t>
            </w:r>
          </w:p>
        </w:tc>
      </w:tr>
    </w:tbl>
    <w:p w14:paraId="72E675A2" w14:textId="77777777" w:rsidR="00EB7908" w:rsidRDefault="00EB7908" w:rsidP="00EB7908"/>
    <w:p w14:paraId="2A0850EC" w14:textId="229D6D04" w:rsidR="00EB7908" w:rsidRDefault="00782E76" w:rsidP="00DA4753">
      <w:r>
        <w:t>Table 6.</w:t>
      </w:r>
      <w:r w:rsidR="00372CA5">
        <w:t>5</w:t>
      </w:r>
      <w:r>
        <w:t xml:space="preserve"> documents the various potential sources of differences between the ex post and ex ante load impacts. The final point in the table proved to be the most important.</w:t>
      </w:r>
    </w:p>
    <w:p w14:paraId="3D91683E" w14:textId="77777777" w:rsidR="00782E76" w:rsidRDefault="00782E76" w:rsidP="00DA4753"/>
    <w:p w14:paraId="0E58DD88" w14:textId="46FB5A14" w:rsidR="00782E76" w:rsidRDefault="00782E76" w:rsidP="00DA4753">
      <w:r>
        <w:t>The single largest difference between the ex post and ex ante load impacts is due to a difference in the load level for a large customer that reduces its load to zero MW during eve</w:t>
      </w:r>
      <w:r w:rsidR="00D12ED1">
        <w:t>nt hours. This customer had, by</w:t>
      </w:r>
      <w:r>
        <w:t xml:space="preserve"> its standards, a relatively low reference load of 7.6 MW on the September 11, 2014 event day. In contrast, its average weekday load level during those same hours in August 2014 was 22.8 MW. The higher August loads serve as the basis for this customer’s typical event day reference load</w:t>
      </w:r>
      <w:r w:rsidR="00372CA5">
        <w:t xml:space="preserve"> in the ex ante forecast</w:t>
      </w:r>
      <w:r>
        <w:t xml:space="preserve">. Because the customer reduces its load to zero during event hours, the higher reference load has the effect of adding approximately 15 MW to the </w:t>
      </w:r>
      <w:r w:rsidR="00372CA5">
        <w:t>ex ante l</w:t>
      </w:r>
      <w:r>
        <w:t>oad impact</w:t>
      </w:r>
      <w:r w:rsidR="00372CA5">
        <w:t xml:space="preserve"> relative to the ex post load impact</w:t>
      </w:r>
      <w:r>
        <w:t>.</w:t>
      </w:r>
    </w:p>
    <w:p w14:paraId="287186A2" w14:textId="77777777" w:rsidR="0004544A" w:rsidRDefault="0004544A" w:rsidP="00DA4753"/>
    <w:p w14:paraId="2646C507" w14:textId="6DFB8BD9" w:rsidR="0004544A" w:rsidRDefault="0004544A" w:rsidP="00DA4753">
      <w:r>
        <w:t>Our ex ante load impacts account for the service a</w:t>
      </w:r>
      <w:r w:rsidR="00383F6F">
        <w:t>greement</w:t>
      </w:r>
      <w:r>
        <w:t>s that have left the program as well as the service a</w:t>
      </w:r>
      <w:r w:rsidR="00383F6F">
        <w:t>greement</w:t>
      </w:r>
      <w:r>
        <w:t>s that have joined BIP since the last PY2014 event day. While the net result is a decrease in enrolled service a</w:t>
      </w:r>
      <w:r w:rsidR="00383F6F">
        <w:t>greemen</w:t>
      </w:r>
      <w:r>
        <w:t>ts, the change in enrollment mix leads to a slight increase</w:t>
      </w:r>
      <w:r w:rsidR="006D4D04">
        <w:t xml:space="preserve"> (~6 MW)</w:t>
      </w:r>
      <w:r>
        <w:t xml:space="preserve"> in program-level load impacts. This is due to the fact that the service a</w:t>
      </w:r>
      <w:r w:rsidR="00383F6F">
        <w:t>greement</w:t>
      </w:r>
      <w:r>
        <w:t>s that left the program provided very little load impact, while the new service a</w:t>
      </w:r>
      <w:r w:rsidR="00383F6F">
        <w:t>greement</w:t>
      </w:r>
      <w:r>
        <w:t>s are assumed to provide the average amount of load impact.</w:t>
      </w:r>
    </w:p>
    <w:p w14:paraId="47430B41" w14:textId="77777777" w:rsidR="00782E76" w:rsidRDefault="00782E76" w:rsidP="00DA4753"/>
    <w:p w14:paraId="028ECABE" w14:textId="25322CAD" w:rsidR="00DA4753" w:rsidRPr="00A11E7E" w:rsidRDefault="00DA4753" w:rsidP="00DA4753">
      <w:pPr>
        <w:pStyle w:val="TableCaption"/>
        <w:keepNext/>
        <w:keepLines/>
      </w:pPr>
      <w:bookmarkStart w:id="214" w:name="_Toc383598019"/>
      <w:bookmarkStart w:id="215" w:name="_Toc415489029"/>
      <w:r w:rsidRPr="00A11E7E">
        <w:lastRenderedPageBreak/>
        <w:t>Table 6.</w:t>
      </w:r>
      <w:r w:rsidR="00372CA5" w:rsidRPr="00A11E7E">
        <w:t>5</w:t>
      </w:r>
      <w:r w:rsidRPr="00A11E7E">
        <w:t>: PG&amp;E Ex Post versus Ex Ante Factors</w:t>
      </w:r>
      <w:bookmarkEnd w:id="214"/>
      <w:bookmarkEnd w:id="215"/>
    </w:p>
    <w:tbl>
      <w:tblPr>
        <w:tblW w:w="9452" w:type="dxa"/>
        <w:jc w:val="center"/>
        <w:tblLook w:val="04A0" w:firstRow="1" w:lastRow="0" w:firstColumn="1" w:lastColumn="0" w:noHBand="0" w:noVBand="1"/>
      </w:tblPr>
      <w:tblGrid>
        <w:gridCol w:w="1518"/>
        <w:gridCol w:w="3028"/>
        <w:gridCol w:w="2340"/>
        <w:gridCol w:w="2566"/>
      </w:tblGrid>
      <w:tr w:rsidR="00DA4753" w:rsidRPr="008E5D4C" w14:paraId="2F5C4AC2" w14:textId="77777777" w:rsidTr="00DA4753">
        <w:trPr>
          <w:trHeight w:val="510"/>
          <w:jc w:val="center"/>
        </w:trPr>
        <w:tc>
          <w:tcPr>
            <w:tcW w:w="151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3B0497DE" w14:textId="77777777" w:rsidR="00DA4753" w:rsidRPr="008E5D4C" w:rsidRDefault="00DA4753" w:rsidP="00DA4753">
            <w:pPr>
              <w:pStyle w:val="TableHeader"/>
              <w:keepNext/>
              <w:keepLines/>
              <w:rPr>
                <w:color w:val="auto"/>
                <w:szCs w:val="20"/>
              </w:rPr>
            </w:pPr>
            <w:r w:rsidRPr="008E5D4C">
              <w:rPr>
                <w:color w:val="auto"/>
                <w:szCs w:val="20"/>
              </w:rPr>
              <w:t>Factor</w:t>
            </w:r>
          </w:p>
        </w:tc>
        <w:tc>
          <w:tcPr>
            <w:tcW w:w="302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3A42E602" w14:textId="77777777" w:rsidR="00DA4753" w:rsidRPr="008E5D4C" w:rsidRDefault="00DA4753" w:rsidP="00DA4753">
            <w:pPr>
              <w:pStyle w:val="TableHeader"/>
              <w:keepNext/>
              <w:keepLines/>
              <w:rPr>
                <w:color w:val="auto"/>
                <w:szCs w:val="20"/>
              </w:rPr>
            </w:pPr>
            <w:r w:rsidRPr="008E5D4C">
              <w:rPr>
                <w:color w:val="auto"/>
                <w:szCs w:val="20"/>
              </w:rPr>
              <w:t>Ex Post</w:t>
            </w:r>
          </w:p>
        </w:tc>
        <w:tc>
          <w:tcPr>
            <w:tcW w:w="234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337EBAB6" w14:textId="77777777" w:rsidR="00DA4753" w:rsidRPr="008E5D4C" w:rsidRDefault="00DA4753" w:rsidP="00DA4753">
            <w:pPr>
              <w:pStyle w:val="TableHeader"/>
              <w:keepNext/>
              <w:keepLines/>
              <w:rPr>
                <w:color w:val="auto"/>
                <w:szCs w:val="20"/>
              </w:rPr>
            </w:pPr>
            <w:r w:rsidRPr="008E5D4C">
              <w:rPr>
                <w:color w:val="auto"/>
                <w:szCs w:val="20"/>
              </w:rPr>
              <w:t>Ex Ante</w:t>
            </w:r>
          </w:p>
        </w:tc>
        <w:tc>
          <w:tcPr>
            <w:tcW w:w="2566"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1FCDA5BF" w14:textId="77777777" w:rsidR="00DA4753" w:rsidRPr="008E5D4C" w:rsidRDefault="00DA4753" w:rsidP="00DA4753">
            <w:pPr>
              <w:pStyle w:val="TableHeader"/>
              <w:keepNext/>
              <w:keepLines/>
              <w:rPr>
                <w:color w:val="auto"/>
                <w:szCs w:val="20"/>
              </w:rPr>
            </w:pPr>
            <w:r w:rsidRPr="008E5D4C">
              <w:rPr>
                <w:color w:val="auto"/>
                <w:szCs w:val="20"/>
              </w:rPr>
              <w:t>Expected Impact</w:t>
            </w:r>
          </w:p>
        </w:tc>
      </w:tr>
      <w:tr w:rsidR="00DA4753" w:rsidRPr="007F356D" w14:paraId="3D05984B" w14:textId="77777777" w:rsidTr="00DA4753">
        <w:trPr>
          <w:trHeight w:val="300"/>
          <w:jc w:val="center"/>
        </w:trPr>
        <w:tc>
          <w:tcPr>
            <w:tcW w:w="1518" w:type="dxa"/>
            <w:tcBorders>
              <w:top w:val="single" w:sz="4" w:space="0" w:color="auto"/>
              <w:left w:val="single" w:sz="4" w:space="0" w:color="auto"/>
              <w:bottom w:val="single" w:sz="4" w:space="0" w:color="auto"/>
              <w:right w:val="single" w:sz="4" w:space="0" w:color="auto"/>
            </w:tcBorders>
            <w:shd w:val="clear" w:color="auto" w:fill="auto"/>
            <w:noWrap/>
            <w:hideMark/>
          </w:tcPr>
          <w:p w14:paraId="02ACBB10" w14:textId="77777777" w:rsidR="00DA4753" w:rsidRPr="008E5D4C" w:rsidRDefault="00DA4753" w:rsidP="00DA4753">
            <w:pPr>
              <w:pStyle w:val="TableText"/>
              <w:keepNext/>
              <w:keepLines/>
              <w:jc w:val="left"/>
              <w:rPr>
                <w:sz w:val="20"/>
                <w:szCs w:val="20"/>
              </w:rPr>
            </w:pPr>
            <w:r w:rsidRPr="008E5D4C">
              <w:rPr>
                <w:sz w:val="20"/>
                <w:szCs w:val="20"/>
              </w:rPr>
              <w:t>Weather</w:t>
            </w:r>
          </w:p>
        </w:tc>
        <w:tc>
          <w:tcPr>
            <w:tcW w:w="3028" w:type="dxa"/>
            <w:tcBorders>
              <w:top w:val="single" w:sz="4" w:space="0" w:color="auto"/>
              <w:left w:val="nil"/>
              <w:bottom w:val="single" w:sz="4" w:space="0" w:color="auto"/>
              <w:right w:val="single" w:sz="4" w:space="0" w:color="auto"/>
            </w:tcBorders>
            <w:shd w:val="clear" w:color="auto" w:fill="auto"/>
            <w:noWrap/>
          </w:tcPr>
          <w:p w14:paraId="37910C56" w14:textId="097FFE64" w:rsidR="00DA4753" w:rsidRPr="008E5D4C" w:rsidRDefault="00EB7908" w:rsidP="00DA4753">
            <w:pPr>
              <w:pStyle w:val="TableText"/>
              <w:keepNext/>
              <w:keepLines/>
              <w:spacing w:after="120"/>
              <w:jc w:val="left"/>
              <w:rPr>
                <w:rFonts w:cs="Calibri"/>
                <w:sz w:val="20"/>
                <w:szCs w:val="20"/>
              </w:rPr>
            </w:pPr>
            <w:r>
              <w:rPr>
                <w:rFonts w:cs="Calibri"/>
                <w:sz w:val="20"/>
                <w:szCs w:val="20"/>
              </w:rPr>
              <w:t>92.9</w:t>
            </w:r>
            <w:r w:rsidR="00DA4753">
              <w:rPr>
                <w:rFonts w:cs="Calibri"/>
                <w:sz w:val="20"/>
                <w:szCs w:val="20"/>
              </w:rPr>
              <w:t xml:space="preserve"> degrees Fahrenheit during event hours.</w:t>
            </w:r>
          </w:p>
        </w:tc>
        <w:tc>
          <w:tcPr>
            <w:tcW w:w="2340" w:type="dxa"/>
            <w:tcBorders>
              <w:top w:val="single" w:sz="4" w:space="0" w:color="auto"/>
              <w:left w:val="nil"/>
              <w:bottom w:val="single" w:sz="4" w:space="0" w:color="auto"/>
              <w:right w:val="single" w:sz="4" w:space="0" w:color="auto"/>
            </w:tcBorders>
            <w:shd w:val="clear" w:color="000000" w:fill="FFFFFF"/>
          </w:tcPr>
          <w:p w14:paraId="52930993" w14:textId="26E9FEDF" w:rsidR="00DA4753" w:rsidRPr="008E5D4C" w:rsidRDefault="00DA4753" w:rsidP="00EB7908">
            <w:pPr>
              <w:pStyle w:val="TableText"/>
              <w:keepNext/>
              <w:keepLines/>
              <w:jc w:val="left"/>
              <w:rPr>
                <w:sz w:val="20"/>
                <w:szCs w:val="20"/>
              </w:rPr>
            </w:pPr>
            <w:r>
              <w:rPr>
                <w:rFonts w:cs="Calibri"/>
                <w:sz w:val="20"/>
                <w:szCs w:val="20"/>
              </w:rPr>
              <w:t>9</w:t>
            </w:r>
            <w:r w:rsidR="00EB7908">
              <w:rPr>
                <w:rFonts w:cs="Calibri"/>
                <w:sz w:val="20"/>
                <w:szCs w:val="20"/>
              </w:rPr>
              <w:t>4</w:t>
            </w:r>
            <w:r>
              <w:rPr>
                <w:rFonts w:cs="Calibri"/>
                <w:sz w:val="20"/>
                <w:szCs w:val="20"/>
              </w:rPr>
              <w:t>.</w:t>
            </w:r>
            <w:r w:rsidR="00EB7908">
              <w:rPr>
                <w:rFonts w:cs="Calibri"/>
                <w:sz w:val="20"/>
                <w:szCs w:val="20"/>
              </w:rPr>
              <w:t>3</w:t>
            </w:r>
            <w:r>
              <w:rPr>
                <w:rFonts w:cs="Calibri"/>
                <w:sz w:val="20"/>
                <w:szCs w:val="20"/>
              </w:rPr>
              <w:t xml:space="preserve"> degrees Fahrenheit during event hours on </w:t>
            </w:r>
            <w:r w:rsidR="00EB7908">
              <w:rPr>
                <w:rFonts w:cs="Calibri"/>
                <w:sz w:val="20"/>
                <w:szCs w:val="20"/>
              </w:rPr>
              <w:t xml:space="preserve">utility-specific </w:t>
            </w:r>
            <w:r>
              <w:rPr>
                <w:rFonts w:cs="Calibri"/>
                <w:sz w:val="20"/>
                <w:szCs w:val="20"/>
              </w:rPr>
              <w:t xml:space="preserve">1-in-2 </w:t>
            </w:r>
            <w:r w:rsidR="00EB7908">
              <w:rPr>
                <w:rFonts w:cs="Calibri"/>
                <w:sz w:val="20"/>
                <w:szCs w:val="20"/>
              </w:rPr>
              <w:t>typical event</w:t>
            </w:r>
            <w:r>
              <w:rPr>
                <w:rFonts w:cs="Calibri"/>
                <w:sz w:val="20"/>
                <w:szCs w:val="20"/>
              </w:rPr>
              <w:t xml:space="preserve"> day.</w:t>
            </w:r>
          </w:p>
        </w:tc>
        <w:tc>
          <w:tcPr>
            <w:tcW w:w="2566" w:type="dxa"/>
            <w:tcBorders>
              <w:top w:val="single" w:sz="4" w:space="0" w:color="auto"/>
              <w:left w:val="nil"/>
              <w:bottom w:val="single" w:sz="4" w:space="0" w:color="auto"/>
              <w:right w:val="single" w:sz="4" w:space="0" w:color="auto"/>
            </w:tcBorders>
            <w:shd w:val="clear" w:color="000000" w:fill="FFFFFF"/>
          </w:tcPr>
          <w:p w14:paraId="6DE31E12" w14:textId="1E8312FF" w:rsidR="00DA4753" w:rsidRPr="008E5D4C" w:rsidRDefault="00EB7908" w:rsidP="008D487F">
            <w:pPr>
              <w:pStyle w:val="TableText"/>
              <w:keepNext/>
              <w:keepLines/>
              <w:jc w:val="left"/>
              <w:rPr>
                <w:sz w:val="20"/>
                <w:szCs w:val="20"/>
              </w:rPr>
            </w:pPr>
            <w:r>
              <w:rPr>
                <w:sz w:val="20"/>
                <w:szCs w:val="20"/>
              </w:rPr>
              <w:t>None. The program</w:t>
            </w:r>
            <w:r w:rsidR="008D487F">
              <w:rPr>
                <w:sz w:val="20"/>
                <w:szCs w:val="20"/>
              </w:rPr>
              <w:t xml:space="preserve"> reference</w:t>
            </w:r>
            <w:r>
              <w:rPr>
                <w:sz w:val="20"/>
                <w:szCs w:val="20"/>
              </w:rPr>
              <w:t xml:space="preserve"> load and load impact </w:t>
            </w:r>
            <w:r w:rsidR="008D487F">
              <w:rPr>
                <w:sz w:val="20"/>
                <w:szCs w:val="20"/>
              </w:rPr>
              <w:t>are</w:t>
            </w:r>
            <w:r>
              <w:rPr>
                <w:sz w:val="20"/>
                <w:szCs w:val="20"/>
              </w:rPr>
              <w:t xml:space="preserve"> not weather sensitive.</w:t>
            </w:r>
          </w:p>
        </w:tc>
      </w:tr>
      <w:tr w:rsidR="00DA4753" w:rsidRPr="007F356D" w14:paraId="445F7EAC"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1AB0438C" w14:textId="77777777" w:rsidR="00DA4753" w:rsidRPr="008E5D4C" w:rsidRDefault="00DA4753" w:rsidP="00DA4753">
            <w:pPr>
              <w:pStyle w:val="TableText"/>
              <w:keepNext/>
              <w:keepLines/>
              <w:jc w:val="left"/>
              <w:rPr>
                <w:sz w:val="20"/>
                <w:szCs w:val="20"/>
              </w:rPr>
            </w:pPr>
            <w:r w:rsidRPr="008E5D4C">
              <w:rPr>
                <w:sz w:val="20"/>
                <w:szCs w:val="20"/>
              </w:rPr>
              <w:t>Event window</w:t>
            </w:r>
          </w:p>
        </w:tc>
        <w:tc>
          <w:tcPr>
            <w:tcW w:w="3028" w:type="dxa"/>
            <w:tcBorders>
              <w:top w:val="nil"/>
              <w:left w:val="nil"/>
              <w:bottom w:val="single" w:sz="4" w:space="0" w:color="auto"/>
              <w:right w:val="single" w:sz="4" w:space="0" w:color="auto"/>
            </w:tcBorders>
            <w:shd w:val="clear" w:color="auto" w:fill="auto"/>
            <w:noWrap/>
          </w:tcPr>
          <w:p w14:paraId="771C2494" w14:textId="284BA41F" w:rsidR="00DA4753" w:rsidRPr="008E5D4C" w:rsidRDefault="00DA4753" w:rsidP="00EB7908">
            <w:pPr>
              <w:pStyle w:val="TableText"/>
              <w:keepNext/>
              <w:keepLines/>
              <w:jc w:val="left"/>
              <w:rPr>
                <w:rFonts w:cs="Calibri"/>
                <w:sz w:val="20"/>
                <w:szCs w:val="20"/>
              </w:rPr>
            </w:pPr>
            <w:r>
              <w:rPr>
                <w:rFonts w:cs="Calibri"/>
                <w:sz w:val="20"/>
                <w:szCs w:val="20"/>
              </w:rPr>
              <w:t>HE 1</w:t>
            </w:r>
            <w:r w:rsidR="00EB7908">
              <w:rPr>
                <w:rFonts w:cs="Calibri"/>
                <w:sz w:val="20"/>
                <w:szCs w:val="20"/>
              </w:rPr>
              <w:t>5</w:t>
            </w:r>
            <w:r>
              <w:rPr>
                <w:rFonts w:cs="Calibri"/>
                <w:sz w:val="20"/>
                <w:szCs w:val="20"/>
              </w:rPr>
              <w:t>-</w:t>
            </w:r>
            <w:r w:rsidR="00EB7908">
              <w:rPr>
                <w:rFonts w:cs="Calibri"/>
                <w:sz w:val="20"/>
                <w:szCs w:val="20"/>
              </w:rPr>
              <w:t>16</w:t>
            </w:r>
            <w:r>
              <w:rPr>
                <w:rFonts w:cs="Calibri"/>
                <w:sz w:val="20"/>
                <w:szCs w:val="20"/>
              </w:rPr>
              <w:t>.</w:t>
            </w:r>
          </w:p>
        </w:tc>
        <w:tc>
          <w:tcPr>
            <w:tcW w:w="2340" w:type="dxa"/>
            <w:tcBorders>
              <w:top w:val="nil"/>
              <w:left w:val="nil"/>
              <w:bottom w:val="single" w:sz="4" w:space="0" w:color="auto"/>
              <w:right w:val="single" w:sz="4" w:space="0" w:color="auto"/>
            </w:tcBorders>
            <w:shd w:val="clear" w:color="000000" w:fill="FFFFFF"/>
          </w:tcPr>
          <w:p w14:paraId="0DB42FFD" w14:textId="77777777" w:rsidR="00DA4753" w:rsidRDefault="00DA4753" w:rsidP="00DA4753">
            <w:pPr>
              <w:pStyle w:val="TableText"/>
              <w:keepNext/>
              <w:keepLines/>
              <w:jc w:val="left"/>
              <w:rPr>
                <w:sz w:val="20"/>
                <w:szCs w:val="20"/>
              </w:rPr>
            </w:pPr>
            <w:r>
              <w:rPr>
                <w:sz w:val="20"/>
                <w:szCs w:val="20"/>
              </w:rPr>
              <w:t>HE 14-18 in Apr-Oct;</w:t>
            </w:r>
          </w:p>
          <w:p w14:paraId="54A1B7E1" w14:textId="77777777" w:rsidR="00DA4753" w:rsidRPr="008E5D4C" w:rsidRDefault="00DA4753" w:rsidP="00DA4753">
            <w:pPr>
              <w:pStyle w:val="TableText"/>
              <w:keepNext/>
              <w:keepLines/>
              <w:jc w:val="left"/>
              <w:rPr>
                <w:sz w:val="20"/>
                <w:szCs w:val="20"/>
              </w:rPr>
            </w:pPr>
            <w:r>
              <w:rPr>
                <w:sz w:val="20"/>
                <w:szCs w:val="20"/>
              </w:rPr>
              <w:t>HE 17-21 in Nov-Mar.</w:t>
            </w:r>
          </w:p>
        </w:tc>
        <w:tc>
          <w:tcPr>
            <w:tcW w:w="2566" w:type="dxa"/>
            <w:tcBorders>
              <w:top w:val="nil"/>
              <w:left w:val="nil"/>
              <w:bottom w:val="single" w:sz="4" w:space="0" w:color="auto"/>
              <w:right w:val="single" w:sz="4" w:space="0" w:color="auto"/>
            </w:tcBorders>
            <w:shd w:val="clear" w:color="000000" w:fill="FFFFFF"/>
          </w:tcPr>
          <w:p w14:paraId="5B180AB4" w14:textId="21C1C2D7" w:rsidR="00DA4753" w:rsidRPr="008E5D4C" w:rsidRDefault="00DA4753" w:rsidP="00904A1E">
            <w:pPr>
              <w:pStyle w:val="TableText"/>
              <w:keepNext/>
              <w:keepLines/>
              <w:jc w:val="left"/>
              <w:rPr>
                <w:sz w:val="20"/>
                <w:szCs w:val="20"/>
              </w:rPr>
            </w:pPr>
            <w:r>
              <w:rPr>
                <w:sz w:val="20"/>
                <w:szCs w:val="20"/>
              </w:rPr>
              <w:t>Minimal</w:t>
            </w:r>
            <w:r w:rsidR="00904A1E">
              <w:rPr>
                <w:sz w:val="20"/>
                <w:szCs w:val="20"/>
              </w:rPr>
              <w:t>. The load profile is fairly flat across the hours in question.</w:t>
            </w:r>
          </w:p>
        </w:tc>
      </w:tr>
      <w:tr w:rsidR="00DA4753" w:rsidRPr="007F356D" w14:paraId="0F41BED7"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1E8B59D0" w14:textId="77777777" w:rsidR="00DA4753" w:rsidRPr="008E5D4C" w:rsidRDefault="00DA4753" w:rsidP="00DA4753">
            <w:pPr>
              <w:pStyle w:val="TableText"/>
              <w:keepNext/>
              <w:keepLines/>
              <w:jc w:val="left"/>
              <w:rPr>
                <w:sz w:val="20"/>
                <w:szCs w:val="20"/>
              </w:rPr>
            </w:pPr>
            <w:r w:rsidRPr="008E5D4C">
              <w:rPr>
                <w:sz w:val="20"/>
                <w:szCs w:val="20"/>
              </w:rPr>
              <w:t>% of resource dispatched</w:t>
            </w:r>
          </w:p>
        </w:tc>
        <w:tc>
          <w:tcPr>
            <w:tcW w:w="3028" w:type="dxa"/>
            <w:tcBorders>
              <w:top w:val="nil"/>
              <w:left w:val="nil"/>
              <w:bottom w:val="single" w:sz="4" w:space="0" w:color="auto"/>
              <w:right w:val="single" w:sz="4" w:space="0" w:color="auto"/>
            </w:tcBorders>
            <w:shd w:val="clear" w:color="auto" w:fill="auto"/>
            <w:noWrap/>
          </w:tcPr>
          <w:p w14:paraId="6301456B" w14:textId="75507B21" w:rsidR="00DA4753" w:rsidRPr="008E5D4C" w:rsidRDefault="00904A1E" w:rsidP="00DA4753">
            <w:pPr>
              <w:pStyle w:val="TableText"/>
              <w:keepNext/>
              <w:keepLines/>
              <w:jc w:val="left"/>
              <w:rPr>
                <w:rFonts w:cs="Calibri"/>
                <w:sz w:val="20"/>
                <w:szCs w:val="20"/>
              </w:rPr>
            </w:pPr>
            <w:r>
              <w:rPr>
                <w:rFonts w:cs="Calibri"/>
                <w:sz w:val="20"/>
                <w:szCs w:val="20"/>
              </w:rPr>
              <w:t>All</w:t>
            </w:r>
            <w:r w:rsidR="00DA4753">
              <w:rPr>
                <w:rFonts w:cs="Calibri"/>
                <w:sz w:val="20"/>
                <w:szCs w:val="20"/>
              </w:rPr>
              <w:t>.</w:t>
            </w:r>
          </w:p>
        </w:tc>
        <w:tc>
          <w:tcPr>
            <w:tcW w:w="2340" w:type="dxa"/>
            <w:tcBorders>
              <w:top w:val="nil"/>
              <w:left w:val="nil"/>
              <w:bottom w:val="single" w:sz="4" w:space="0" w:color="auto"/>
              <w:right w:val="single" w:sz="4" w:space="0" w:color="auto"/>
            </w:tcBorders>
            <w:shd w:val="clear" w:color="000000" w:fill="FFFFFF"/>
          </w:tcPr>
          <w:p w14:paraId="42D1174D" w14:textId="77777777" w:rsidR="00DA4753" w:rsidRPr="008E5D4C" w:rsidRDefault="00DA4753" w:rsidP="00DA4753">
            <w:pPr>
              <w:pStyle w:val="TableText"/>
              <w:keepNext/>
              <w:keepLines/>
              <w:jc w:val="left"/>
              <w:rPr>
                <w:sz w:val="20"/>
                <w:szCs w:val="20"/>
              </w:rPr>
            </w:pPr>
            <w:r>
              <w:rPr>
                <w:sz w:val="20"/>
                <w:szCs w:val="20"/>
              </w:rPr>
              <w:t>Assume all customers are called.</w:t>
            </w:r>
          </w:p>
        </w:tc>
        <w:tc>
          <w:tcPr>
            <w:tcW w:w="2566" w:type="dxa"/>
            <w:tcBorders>
              <w:top w:val="nil"/>
              <w:left w:val="nil"/>
              <w:bottom w:val="single" w:sz="4" w:space="0" w:color="auto"/>
              <w:right w:val="single" w:sz="4" w:space="0" w:color="auto"/>
            </w:tcBorders>
            <w:shd w:val="clear" w:color="000000" w:fill="FFFFFF"/>
          </w:tcPr>
          <w:p w14:paraId="6A77C15B" w14:textId="77777777" w:rsidR="00DA4753" w:rsidRPr="008E5D4C" w:rsidRDefault="00DA4753" w:rsidP="00DA4753">
            <w:pPr>
              <w:pStyle w:val="TableText"/>
              <w:keepNext/>
              <w:keepLines/>
              <w:jc w:val="left"/>
              <w:rPr>
                <w:sz w:val="20"/>
                <w:szCs w:val="20"/>
              </w:rPr>
            </w:pPr>
            <w:r>
              <w:rPr>
                <w:sz w:val="20"/>
                <w:szCs w:val="20"/>
              </w:rPr>
              <w:t>None. The ex ante method assumes that all enrolled customers are dispatched.</w:t>
            </w:r>
          </w:p>
        </w:tc>
      </w:tr>
      <w:tr w:rsidR="00DA4753" w:rsidRPr="007F356D" w14:paraId="17620FAF"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6842FE77" w14:textId="77777777" w:rsidR="00DA4753" w:rsidRPr="008E5D4C" w:rsidRDefault="00DA4753" w:rsidP="00DA4753">
            <w:pPr>
              <w:pStyle w:val="TableText"/>
              <w:keepNext/>
              <w:keepLines/>
              <w:jc w:val="left"/>
              <w:rPr>
                <w:sz w:val="20"/>
                <w:szCs w:val="20"/>
              </w:rPr>
            </w:pPr>
            <w:r w:rsidRPr="008E5D4C">
              <w:rPr>
                <w:sz w:val="20"/>
                <w:szCs w:val="20"/>
              </w:rPr>
              <w:t>Enrollment</w:t>
            </w:r>
          </w:p>
        </w:tc>
        <w:tc>
          <w:tcPr>
            <w:tcW w:w="3028" w:type="dxa"/>
            <w:tcBorders>
              <w:top w:val="nil"/>
              <w:left w:val="nil"/>
              <w:bottom w:val="single" w:sz="4" w:space="0" w:color="auto"/>
              <w:right w:val="single" w:sz="4" w:space="0" w:color="auto"/>
            </w:tcBorders>
            <w:shd w:val="clear" w:color="auto" w:fill="auto"/>
            <w:noWrap/>
          </w:tcPr>
          <w:p w14:paraId="6D291C8E" w14:textId="7CA9656A" w:rsidR="00DA4753" w:rsidRPr="008E5D4C" w:rsidRDefault="00904A1E" w:rsidP="00DE3F00">
            <w:pPr>
              <w:pStyle w:val="TableText"/>
              <w:keepNext/>
              <w:keepLines/>
              <w:jc w:val="left"/>
              <w:rPr>
                <w:rFonts w:cs="Calibri"/>
                <w:sz w:val="20"/>
                <w:szCs w:val="20"/>
              </w:rPr>
            </w:pPr>
            <w:r>
              <w:rPr>
                <w:rFonts w:cs="Calibri"/>
                <w:sz w:val="20"/>
                <w:szCs w:val="20"/>
              </w:rPr>
              <w:t>218</w:t>
            </w:r>
            <w:r w:rsidR="00DA4753">
              <w:rPr>
                <w:rFonts w:cs="Calibri"/>
                <w:sz w:val="20"/>
                <w:szCs w:val="20"/>
              </w:rPr>
              <w:t xml:space="preserve"> SAIDs during the </w:t>
            </w:r>
            <w:r w:rsidR="00DE3F00">
              <w:rPr>
                <w:rFonts w:cs="Calibri"/>
                <w:sz w:val="20"/>
                <w:szCs w:val="20"/>
              </w:rPr>
              <w:t>9/11/2014</w:t>
            </w:r>
            <w:r>
              <w:rPr>
                <w:rFonts w:cs="Calibri"/>
                <w:sz w:val="20"/>
                <w:szCs w:val="20"/>
              </w:rPr>
              <w:t xml:space="preserve"> </w:t>
            </w:r>
            <w:r w:rsidR="00DA4753">
              <w:rPr>
                <w:rFonts w:cs="Calibri"/>
                <w:sz w:val="20"/>
                <w:szCs w:val="20"/>
              </w:rPr>
              <w:t>event day.</w:t>
            </w:r>
          </w:p>
        </w:tc>
        <w:tc>
          <w:tcPr>
            <w:tcW w:w="2340" w:type="dxa"/>
            <w:tcBorders>
              <w:top w:val="nil"/>
              <w:left w:val="nil"/>
              <w:bottom w:val="single" w:sz="4" w:space="0" w:color="auto"/>
              <w:right w:val="single" w:sz="4" w:space="0" w:color="auto"/>
            </w:tcBorders>
            <w:shd w:val="clear" w:color="000000" w:fill="FFFFFF"/>
          </w:tcPr>
          <w:p w14:paraId="5D39610E" w14:textId="1E58A655" w:rsidR="00DA4753" w:rsidRPr="008E5D4C" w:rsidRDefault="00904A1E" w:rsidP="00DA4753">
            <w:pPr>
              <w:pStyle w:val="TableText"/>
              <w:keepNext/>
              <w:keepLines/>
              <w:jc w:val="left"/>
              <w:rPr>
                <w:sz w:val="20"/>
                <w:szCs w:val="20"/>
              </w:rPr>
            </w:pPr>
            <w:r>
              <w:rPr>
                <w:sz w:val="20"/>
                <w:szCs w:val="20"/>
              </w:rPr>
              <w:t>203</w:t>
            </w:r>
            <w:r w:rsidR="00DA4753">
              <w:rPr>
                <w:sz w:val="20"/>
                <w:szCs w:val="20"/>
              </w:rPr>
              <w:t xml:space="preserve"> SAIDs.</w:t>
            </w:r>
          </w:p>
        </w:tc>
        <w:tc>
          <w:tcPr>
            <w:tcW w:w="2566" w:type="dxa"/>
            <w:tcBorders>
              <w:top w:val="nil"/>
              <w:left w:val="nil"/>
              <w:bottom w:val="single" w:sz="4" w:space="0" w:color="auto"/>
              <w:right w:val="single" w:sz="4" w:space="0" w:color="auto"/>
            </w:tcBorders>
            <w:shd w:val="clear" w:color="000000" w:fill="FFFFFF"/>
          </w:tcPr>
          <w:p w14:paraId="7D4D3E75" w14:textId="2AA8CA9C" w:rsidR="00DA4753" w:rsidRPr="0025461A" w:rsidRDefault="00B44075" w:rsidP="0004544A">
            <w:pPr>
              <w:pStyle w:val="TableText"/>
              <w:keepNext/>
              <w:keepLines/>
              <w:jc w:val="left"/>
              <w:rPr>
                <w:sz w:val="20"/>
                <w:szCs w:val="20"/>
                <w:highlight w:val="yellow"/>
              </w:rPr>
            </w:pPr>
            <w:r w:rsidRPr="00B44075">
              <w:rPr>
                <w:sz w:val="20"/>
                <w:szCs w:val="20"/>
              </w:rPr>
              <w:t xml:space="preserve">The </w:t>
            </w:r>
            <w:r>
              <w:rPr>
                <w:sz w:val="20"/>
                <w:szCs w:val="20"/>
              </w:rPr>
              <w:t>SAIDs that left BIP had low load impacts, but relatively high FSLs, causing the program FSL to go down by nearly 16 MW.</w:t>
            </w:r>
            <w:r w:rsidR="0004544A">
              <w:rPr>
                <w:sz w:val="20"/>
                <w:szCs w:val="20"/>
              </w:rPr>
              <w:t xml:space="preserve"> </w:t>
            </w:r>
          </w:p>
        </w:tc>
      </w:tr>
      <w:tr w:rsidR="00DA4753" w:rsidRPr="007F356D" w14:paraId="2727E45B"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280065BF" w14:textId="77777777" w:rsidR="00DA4753" w:rsidRPr="008E5D4C" w:rsidRDefault="00DA4753" w:rsidP="00DA4753">
            <w:pPr>
              <w:pStyle w:val="TableText"/>
              <w:keepNext/>
              <w:keepLines/>
              <w:jc w:val="left"/>
              <w:rPr>
                <w:sz w:val="20"/>
                <w:szCs w:val="20"/>
              </w:rPr>
            </w:pPr>
            <w:r w:rsidRPr="008E5D4C">
              <w:rPr>
                <w:sz w:val="20"/>
                <w:szCs w:val="20"/>
              </w:rPr>
              <w:t>Methodology</w:t>
            </w:r>
          </w:p>
        </w:tc>
        <w:tc>
          <w:tcPr>
            <w:tcW w:w="3028" w:type="dxa"/>
            <w:tcBorders>
              <w:top w:val="nil"/>
              <w:left w:val="nil"/>
              <w:bottom w:val="single" w:sz="4" w:space="0" w:color="auto"/>
              <w:right w:val="single" w:sz="4" w:space="0" w:color="auto"/>
            </w:tcBorders>
            <w:shd w:val="clear" w:color="auto" w:fill="auto"/>
            <w:noWrap/>
          </w:tcPr>
          <w:p w14:paraId="324C1A91" w14:textId="77777777" w:rsidR="00DA4753" w:rsidRPr="008E5D4C" w:rsidRDefault="00DA4753" w:rsidP="00DA4753">
            <w:pPr>
              <w:pStyle w:val="TableText"/>
              <w:keepNext/>
              <w:keepLines/>
              <w:spacing w:after="120"/>
              <w:jc w:val="left"/>
              <w:rPr>
                <w:rFonts w:cs="Calibri"/>
                <w:sz w:val="20"/>
                <w:szCs w:val="20"/>
              </w:rPr>
            </w:pPr>
            <w:r>
              <w:rPr>
                <w:rFonts w:cs="Calibri"/>
                <w:sz w:val="20"/>
                <w:szCs w:val="20"/>
              </w:rPr>
              <w:t>SAID-specific regressions using own within-subject analysis.</w:t>
            </w:r>
          </w:p>
        </w:tc>
        <w:tc>
          <w:tcPr>
            <w:tcW w:w="2340" w:type="dxa"/>
            <w:tcBorders>
              <w:top w:val="nil"/>
              <w:left w:val="nil"/>
              <w:bottom w:val="single" w:sz="4" w:space="0" w:color="auto"/>
              <w:right w:val="single" w:sz="4" w:space="0" w:color="auto"/>
            </w:tcBorders>
            <w:shd w:val="clear" w:color="000000" w:fill="FFFFFF"/>
          </w:tcPr>
          <w:p w14:paraId="2CA3FFC6" w14:textId="1173A06F" w:rsidR="00DA4753" w:rsidRPr="008E5D4C" w:rsidRDefault="00DA4753" w:rsidP="00DE3F00">
            <w:pPr>
              <w:pStyle w:val="TableText"/>
              <w:keepNext/>
              <w:keepLines/>
              <w:jc w:val="left"/>
              <w:rPr>
                <w:sz w:val="20"/>
                <w:szCs w:val="20"/>
              </w:rPr>
            </w:pPr>
            <w:r>
              <w:rPr>
                <w:sz w:val="20"/>
                <w:szCs w:val="20"/>
              </w:rPr>
              <w:t xml:space="preserve">Reference loads are simulated from </w:t>
            </w:r>
            <w:r>
              <w:rPr>
                <w:rFonts w:cs="Calibri"/>
                <w:sz w:val="20"/>
                <w:szCs w:val="20"/>
              </w:rPr>
              <w:t xml:space="preserve">SAID-specific regressions. Load impacts are based on </w:t>
            </w:r>
            <w:r w:rsidR="00DE3F00">
              <w:rPr>
                <w:rFonts w:cs="Calibri"/>
                <w:sz w:val="20"/>
                <w:szCs w:val="20"/>
              </w:rPr>
              <w:t>SAID-level performance on the most recent event day (9/11/2014)</w:t>
            </w:r>
            <w:r>
              <w:rPr>
                <w:rFonts w:cs="Calibri"/>
                <w:sz w:val="20"/>
                <w:szCs w:val="20"/>
              </w:rPr>
              <w:t>.</w:t>
            </w:r>
          </w:p>
        </w:tc>
        <w:tc>
          <w:tcPr>
            <w:tcW w:w="2566" w:type="dxa"/>
            <w:tcBorders>
              <w:top w:val="nil"/>
              <w:left w:val="nil"/>
              <w:bottom w:val="single" w:sz="4" w:space="0" w:color="auto"/>
              <w:right w:val="single" w:sz="4" w:space="0" w:color="auto"/>
            </w:tcBorders>
            <w:shd w:val="clear" w:color="000000" w:fill="FFFFFF"/>
          </w:tcPr>
          <w:p w14:paraId="2A981344" w14:textId="6F517ECB" w:rsidR="00DA4753" w:rsidRPr="008E5D4C" w:rsidRDefault="00B44075" w:rsidP="00DA4753">
            <w:pPr>
              <w:pStyle w:val="TableText"/>
              <w:keepNext/>
              <w:keepLines/>
              <w:jc w:val="left"/>
              <w:rPr>
                <w:sz w:val="20"/>
                <w:szCs w:val="20"/>
              </w:rPr>
            </w:pPr>
            <w:r>
              <w:rPr>
                <w:sz w:val="20"/>
                <w:szCs w:val="20"/>
              </w:rPr>
              <w:t>D</w:t>
            </w:r>
            <w:r w:rsidR="00DE3F00">
              <w:rPr>
                <w:sz w:val="20"/>
                <w:szCs w:val="20"/>
              </w:rPr>
              <w:t>ifferences between simulated ex ante and estimated ex post reference loads</w:t>
            </w:r>
            <w:r>
              <w:rPr>
                <w:sz w:val="20"/>
                <w:szCs w:val="20"/>
              </w:rPr>
              <w:t>. One SAID in particular had low loads on the 9/11 event day relative to its TED load. This SAID is the single largest contributor to the load impact difference.</w:t>
            </w:r>
          </w:p>
        </w:tc>
      </w:tr>
    </w:tbl>
    <w:p w14:paraId="407049EE" w14:textId="77777777" w:rsidR="00DA4753" w:rsidRDefault="00DA4753" w:rsidP="00DA4753"/>
    <w:p w14:paraId="517A0057" w14:textId="77777777" w:rsidR="00DA4753" w:rsidRPr="00A11E7E" w:rsidRDefault="00DA4753" w:rsidP="00DA4753">
      <w:pPr>
        <w:pStyle w:val="Heading2"/>
      </w:pPr>
      <w:bookmarkStart w:id="216" w:name="_Toc383597956"/>
      <w:bookmarkStart w:id="217" w:name="_Toc415488980"/>
      <w:r w:rsidRPr="00A11E7E">
        <w:t>6.2 SCE</w:t>
      </w:r>
      <w:bookmarkEnd w:id="216"/>
      <w:bookmarkEnd w:id="217"/>
    </w:p>
    <w:p w14:paraId="506BF86C" w14:textId="77777777" w:rsidR="00DA4753" w:rsidRPr="00A11E7E" w:rsidRDefault="00DA4753" w:rsidP="00DA4753">
      <w:pPr>
        <w:pStyle w:val="Heading3"/>
      </w:pPr>
      <w:bookmarkStart w:id="218" w:name="_Toc383597957"/>
      <w:bookmarkStart w:id="219" w:name="_Toc415488981"/>
      <w:r w:rsidRPr="00A11E7E">
        <w:t>6.2.1 Previous versus current ex post</w:t>
      </w:r>
      <w:bookmarkEnd w:id="218"/>
      <w:bookmarkEnd w:id="219"/>
    </w:p>
    <w:p w14:paraId="592639E0" w14:textId="46E74C25" w:rsidR="00DA4753" w:rsidRDefault="00DA4753" w:rsidP="00DA4753">
      <w:r>
        <w:t>Table 6.</w:t>
      </w:r>
      <w:r w:rsidR="00372CA5">
        <w:t>6</w:t>
      </w:r>
      <w:r>
        <w:t xml:space="preserve"> compares ex post load impacts for the typical event day </w:t>
      </w:r>
      <w:r w:rsidR="00F7199D">
        <w:t xml:space="preserve">between PY2013 and PY2014. Only one BIP event was called in each year: September 19, 2013 (1 hour in duration); and February 6, 2014 (4 hours in duration). The number of service accounts, total reference load, and load impacts are slightly lower in PY2014, but the per-customer reference loads and load impacts are quite similar across the two years. This may be surprising given that the two events were called in different seasons. </w:t>
      </w:r>
    </w:p>
    <w:p w14:paraId="5D47B9E0" w14:textId="427D0857" w:rsidR="00F7199D" w:rsidRDefault="00F7199D" w:rsidP="00DA4753"/>
    <w:p w14:paraId="1C67759B" w14:textId="4C2233DB" w:rsidR="00DA4753" w:rsidRPr="00376F46" w:rsidRDefault="00DA4753" w:rsidP="00DA4753">
      <w:pPr>
        <w:pStyle w:val="TableCaption"/>
        <w:keepNext/>
        <w:keepLines/>
      </w:pPr>
      <w:bookmarkStart w:id="220" w:name="_Toc383598020"/>
      <w:bookmarkStart w:id="221" w:name="_Toc415489030"/>
      <w:r w:rsidRPr="00376F46">
        <w:lastRenderedPageBreak/>
        <w:t xml:space="preserve">Table </w:t>
      </w:r>
      <w:r>
        <w:t>6</w:t>
      </w:r>
      <w:r w:rsidRPr="00376F46">
        <w:t>.</w:t>
      </w:r>
      <w:r w:rsidR="00372CA5">
        <w:t>6</w:t>
      </w:r>
      <w:r w:rsidRPr="00376F46">
        <w:t xml:space="preserve"> Comparison of </w:t>
      </w:r>
      <w:r>
        <w:t xml:space="preserve">Average Event-day Ex Post </w:t>
      </w:r>
      <w:r w:rsidRPr="00376F46">
        <w:t>Impacts (in MW) in PY 201</w:t>
      </w:r>
      <w:r w:rsidR="00F7199D">
        <w:t>3</w:t>
      </w:r>
      <w:r w:rsidRPr="00376F46">
        <w:t xml:space="preserve"> </w:t>
      </w:r>
      <w:r w:rsidR="00F7199D">
        <w:t xml:space="preserve">and </w:t>
      </w:r>
      <w:r w:rsidRPr="00376F46">
        <w:t>PY 201</w:t>
      </w:r>
      <w:r w:rsidR="00F7199D">
        <w:t>4</w:t>
      </w:r>
      <w:r w:rsidRPr="00376F46">
        <w:t xml:space="preserve">, </w:t>
      </w:r>
      <w:r>
        <w:rPr>
          <w:i/>
        </w:rPr>
        <w:t>SC</w:t>
      </w:r>
      <w:r w:rsidRPr="00376F46">
        <w:rPr>
          <w:i/>
        </w:rPr>
        <w:t>E</w:t>
      </w:r>
      <w:bookmarkEnd w:id="220"/>
      <w:bookmarkEnd w:id="2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1948"/>
        <w:gridCol w:w="1726"/>
        <w:gridCol w:w="1727"/>
      </w:tblGrid>
      <w:tr w:rsidR="00F7199D" w14:paraId="0657F9BE" w14:textId="77777777" w:rsidTr="00F7199D">
        <w:trPr>
          <w:jc w:val="center"/>
        </w:trPr>
        <w:tc>
          <w:tcPr>
            <w:tcW w:w="1503" w:type="dxa"/>
            <w:shd w:val="clear" w:color="auto" w:fill="D9E2F3"/>
            <w:vAlign w:val="center"/>
          </w:tcPr>
          <w:p w14:paraId="48176C16" w14:textId="77777777" w:rsidR="00F7199D" w:rsidRPr="009C75E1" w:rsidRDefault="00F7199D" w:rsidP="00DA4753">
            <w:pPr>
              <w:keepNext/>
              <w:keepLines/>
              <w:jc w:val="center"/>
              <w:rPr>
                <w:rFonts w:ascii="Arial" w:hAnsi="Arial" w:cs="Arial"/>
                <w:b/>
                <w:sz w:val="20"/>
                <w:szCs w:val="20"/>
              </w:rPr>
            </w:pPr>
            <w:r w:rsidRPr="009C75E1">
              <w:rPr>
                <w:rFonts w:ascii="Arial" w:hAnsi="Arial" w:cs="Arial"/>
                <w:b/>
                <w:sz w:val="20"/>
                <w:szCs w:val="20"/>
              </w:rPr>
              <w:t>Level</w:t>
            </w:r>
          </w:p>
        </w:tc>
        <w:tc>
          <w:tcPr>
            <w:tcW w:w="1948" w:type="dxa"/>
            <w:shd w:val="clear" w:color="auto" w:fill="D9E2F3"/>
            <w:vAlign w:val="center"/>
          </w:tcPr>
          <w:p w14:paraId="459A6B59" w14:textId="77777777" w:rsidR="00F7199D" w:rsidRPr="009C75E1" w:rsidRDefault="00F7199D" w:rsidP="00DA4753">
            <w:pPr>
              <w:keepNext/>
              <w:keepLines/>
              <w:jc w:val="center"/>
              <w:rPr>
                <w:rFonts w:ascii="Arial" w:hAnsi="Arial" w:cs="Arial"/>
                <w:b/>
                <w:sz w:val="20"/>
                <w:szCs w:val="20"/>
              </w:rPr>
            </w:pPr>
            <w:r w:rsidRPr="009C75E1">
              <w:rPr>
                <w:rFonts w:ascii="Arial" w:hAnsi="Arial" w:cs="Arial"/>
                <w:b/>
                <w:sz w:val="20"/>
                <w:szCs w:val="20"/>
              </w:rPr>
              <w:t>Outcome</w:t>
            </w:r>
          </w:p>
        </w:tc>
        <w:tc>
          <w:tcPr>
            <w:tcW w:w="1726" w:type="dxa"/>
            <w:shd w:val="clear" w:color="auto" w:fill="D9E2F3"/>
            <w:vAlign w:val="center"/>
          </w:tcPr>
          <w:p w14:paraId="77A5B874" w14:textId="77777777" w:rsidR="00F7199D" w:rsidRPr="009C75E1" w:rsidRDefault="00F7199D" w:rsidP="00DA4753">
            <w:pPr>
              <w:keepNext/>
              <w:keepLines/>
              <w:jc w:val="center"/>
              <w:rPr>
                <w:rFonts w:ascii="Arial" w:hAnsi="Arial" w:cs="Arial"/>
                <w:b/>
                <w:sz w:val="20"/>
                <w:szCs w:val="20"/>
              </w:rPr>
            </w:pPr>
            <w:r>
              <w:rPr>
                <w:rFonts w:ascii="Arial" w:hAnsi="Arial" w:cs="Arial"/>
                <w:b/>
                <w:sz w:val="20"/>
                <w:szCs w:val="20"/>
              </w:rPr>
              <w:t>PY2013</w:t>
            </w:r>
          </w:p>
        </w:tc>
        <w:tc>
          <w:tcPr>
            <w:tcW w:w="1727" w:type="dxa"/>
            <w:shd w:val="clear" w:color="auto" w:fill="D9E2F3"/>
            <w:vAlign w:val="center"/>
          </w:tcPr>
          <w:p w14:paraId="2BA22451" w14:textId="77777777" w:rsidR="00F7199D" w:rsidRPr="009C75E1" w:rsidRDefault="00F7199D" w:rsidP="00DA4753">
            <w:pPr>
              <w:keepNext/>
              <w:keepLines/>
              <w:jc w:val="center"/>
              <w:rPr>
                <w:rFonts w:ascii="Arial" w:hAnsi="Arial" w:cs="Arial"/>
                <w:b/>
                <w:sz w:val="20"/>
                <w:szCs w:val="20"/>
              </w:rPr>
            </w:pPr>
            <w:r w:rsidRPr="009C75E1">
              <w:rPr>
                <w:rFonts w:ascii="Arial" w:hAnsi="Arial" w:cs="Arial"/>
                <w:b/>
                <w:sz w:val="20"/>
                <w:szCs w:val="20"/>
              </w:rPr>
              <w:t>PY201</w:t>
            </w:r>
            <w:r>
              <w:rPr>
                <w:rFonts w:ascii="Arial" w:hAnsi="Arial" w:cs="Arial"/>
                <w:b/>
                <w:sz w:val="20"/>
                <w:szCs w:val="20"/>
              </w:rPr>
              <w:t>4</w:t>
            </w:r>
          </w:p>
        </w:tc>
      </w:tr>
      <w:tr w:rsidR="00F7199D" w14:paraId="0CA09798" w14:textId="77777777" w:rsidTr="00F7199D">
        <w:trPr>
          <w:jc w:val="center"/>
        </w:trPr>
        <w:tc>
          <w:tcPr>
            <w:tcW w:w="1503" w:type="dxa"/>
            <w:vMerge w:val="restart"/>
            <w:shd w:val="clear" w:color="auto" w:fill="auto"/>
            <w:vAlign w:val="center"/>
          </w:tcPr>
          <w:p w14:paraId="781497FB" w14:textId="77777777" w:rsidR="00F7199D" w:rsidRPr="009C75E1" w:rsidRDefault="00F7199D" w:rsidP="00DA4753">
            <w:pPr>
              <w:keepNext/>
              <w:keepLines/>
              <w:rPr>
                <w:rFonts w:ascii="Arial" w:hAnsi="Arial" w:cs="Arial"/>
                <w:b/>
                <w:sz w:val="20"/>
                <w:szCs w:val="20"/>
              </w:rPr>
            </w:pPr>
            <w:r w:rsidRPr="009C75E1">
              <w:rPr>
                <w:rFonts w:ascii="Arial" w:hAnsi="Arial" w:cs="Arial"/>
                <w:b/>
                <w:sz w:val="20"/>
                <w:szCs w:val="20"/>
              </w:rPr>
              <w:t>Total</w:t>
            </w:r>
          </w:p>
        </w:tc>
        <w:tc>
          <w:tcPr>
            <w:tcW w:w="1948" w:type="dxa"/>
            <w:shd w:val="clear" w:color="auto" w:fill="auto"/>
          </w:tcPr>
          <w:p w14:paraId="49176D99" w14:textId="77777777" w:rsidR="00F7199D" w:rsidRPr="009C75E1" w:rsidRDefault="00F7199D" w:rsidP="00DA4753">
            <w:pPr>
              <w:keepNext/>
              <w:keepLines/>
              <w:rPr>
                <w:rFonts w:ascii="Arial" w:hAnsi="Arial" w:cs="Arial"/>
                <w:sz w:val="20"/>
                <w:szCs w:val="20"/>
              </w:rPr>
            </w:pPr>
            <w:r w:rsidRPr="009C75E1">
              <w:rPr>
                <w:rFonts w:ascii="Arial" w:hAnsi="Arial" w:cs="Arial"/>
                <w:sz w:val="20"/>
                <w:szCs w:val="20"/>
              </w:rPr>
              <w:t># SAIDs</w:t>
            </w:r>
          </w:p>
        </w:tc>
        <w:tc>
          <w:tcPr>
            <w:tcW w:w="1726" w:type="dxa"/>
            <w:shd w:val="clear" w:color="auto" w:fill="auto"/>
          </w:tcPr>
          <w:p w14:paraId="46677938" w14:textId="298C7329" w:rsidR="00F7199D" w:rsidRPr="009C75E1" w:rsidRDefault="00F7199D" w:rsidP="00DA4753">
            <w:pPr>
              <w:keepNext/>
              <w:keepLines/>
              <w:jc w:val="center"/>
              <w:rPr>
                <w:rFonts w:ascii="Arial" w:hAnsi="Arial" w:cs="Arial"/>
                <w:sz w:val="20"/>
                <w:szCs w:val="20"/>
              </w:rPr>
            </w:pPr>
            <w:r>
              <w:rPr>
                <w:rFonts w:ascii="Arial" w:hAnsi="Arial" w:cs="Arial"/>
                <w:sz w:val="20"/>
                <w:szCs w:val="20"/>
              </w:rPr>
              <w:t>646</w:t>
            </w:r>
          </w:p>
        </w:tc>
        <w:tc>
          <w:tcPr>
            <w:tcW w:w="1727" w:type="dxa"/>
            <w:shd w:val="clear" w:color="auto" w:fill="auto"/>
          </w:tcPr>
          <w:p w14:paraId="0AA23A3B" w14:textId="008CCE31" w:rsidR="00F7199D" w:rsidRPr="009C75E1" w:rsidRDefault="00F7199D" w:rsidP="00DA4753">
            <w:pPr>
              <w:keepNext/>
              <w:keepLines/>
              <w:jc w:val="center"/>
              <w:rPr>
                <w:rFonts w:ascii="Arial" w:hAnsi="Arial" w:cs="Arial"/>
                <w:sz w:val="20"/>
                <w:szCs w:val="20"/>
              </w:rPr>
            </w:pPr>
            <w:r>
              <w:rPr>
                <w:rFonts w:ascii="Arial" w:hAnsi="Arial" w:cs="Arial"/>
                <w:sz w:val="20"/>
                <w:szCs w:val="20"/>
              </w:rPr>
              <w:t>620</w:t>
            </w:r>
          </w:p>
        </w:tc>
      </w:tr>
      <w:tr w:rsidR="00F7199D" w14:paraId="754B6008" w14:textId="77777777" w:rsidTr="00F7199D">
        <w:trPr>
          <w:trHeight w:val="242"/>
          <w:jc w:val="center"/>
        </w:trPr>
        <w:tc>
          <w:tcPr>
            <w:tcW w:w="1503" w:type="dxa"/>
            <w:vMerge/>
            <w:shd w:val="clear" w:color="auto" w:fill="auto"/>
            <w:vAlign w:val="center"/>
          </w:tcPr>
          <w:p w14:paraId="07E45181" w14:textId="77777777" w:rsidR="00F7199D" w:rsidRPr="009C75E1" w:rsidRDefault="00F7199D" w:rsidP="00DA4753">
            <w:pPr>
              <w:keepNext/>
              <w:keepLines/>
              <w:rPr>
                <w:rFonts w:ascii="Arial" w:hAnsi="Arial" w:cs="Arial"/>
                <w:sz w:val="20"/>
                <w:szCs w:val="20"/>
              </w:rPr>
            </w:pPr>
          </w:p>
        </w:tc>
        <w:tc>
          <w:tcPr>
            <w:tcW w:w="1948" w:type="dxa"/>
            <w:shd w:val="clear" w:color="auto" w:fill="auto"/>
          </w:tcPr>
          <w:p w14:paraId="5D176694" w14:textId="77777777" w:rsidR="00F7199D" w:rsidRPr="009C75E1" w:rsidRDefault="00F7199D" w:rsidP="00DA4753">
            <w:pPr>
              <w:keepNext/>
              <w:keepLines/>
              <w:rPr>
                <w:rFonts w:ascii="Arial" w:hAnsi="Arial" w:cs="Arial"/>
                <w:sz w:val="20"/>
                <w:szCs w:val="20"/>
              </w:rPr>
            </w:pPr>
            <w:r w:rsidRPr="009C75E1">
              <w:rPr>
                <w:rFonts w:ascii="Arial" w:hAnsi="Arial" w:cs="Arial"/>
                <w:sz w:val="20"/>
                <w:szCs w:val="20"/>
              </w:rPr>
              <w:t>Reference (MW)</w:t>
            </w:r>
          </w:p>
        </w:tc>
        <w:tc>
          <w:tcPr>
            <w:tcW w:w="1726" w:type="dxa"/>
            <w:shd w:val="clear" w:color="auto" w:fill="auto"/>
          </w:tcPr>
          <w:p w14:paraId="219A6CB9" w14:textId="3D4B8F4D" w:rsidR="00F7199D" w:rsidRPr="009C75E1" w:rsidRDefault="00F7199D" w:rsidP="00DA4753">
            <w:pPr>
              <w:keepNext/>
              <w:keepLines/>
              <w:jc w:val="center"/>
              <w:rPr>
                <w:rFonts w:ascii="Arial" w:hAnsi="Arial" w:cs="Arial"/>
                <w:sz w:val="20"/>
                <w:szCs w:val="20"/>
              </w:rPr>
            </w:pPr>
            <w:r>
              <w:rPr>
                <w:rFonts w:ascii="Arial" w:hAnsi="Arial" w:cs="Arial"/>
                <w:sz w:val="20"/>
                <w:szCs w:val="20"/>
              </w:rPr>
              <w:t>816</w:t>
            </w:r>
          </w:p>
        </w:tc>
        <w:tc>
          <w:tcPr>
            <w:tcW w:w="1727" w:type="dxa"/>
            <w:shd w:val="clear" w:color="auto" w:fill="auto"/>
          </w:tcPr>
          <w:p w14:paraId="3C49C65B" w14:textId="34CEDB5C" w:rsidR="00F7199D" w:rsidRPr="009C75E1" w:rsidRDefault="00F7199D" w:rsidP="00DA4753">
            <w:pPr>
              <w:keepNext/>
              <w:keepLines/>
              <w:jc w:val="center"/>
              <w:rPr>
                <w:rFonts w:ascii="Arial" w:hAnsi="Arial" w:cs="Arial"/>
                <w:sz w:val="20"/>
                <w:szCs w:val="20"/>
              </w:rPr>
            </w:pPr>
            <w:r>
              <w:rPr>
                <w:rFonts w:ascii="Arial" w:hAnsi="Arial" w:cs="Arial"/>
                <w:sz w:val="20"/>
                <w:szCs w:val="20"/>
              </w:rPr>
              <w:t>755</w:t>
            </w:r>
          </w:p>
        </w:tc>
      </w:tr>
      <w:tr w:rsidR="00F7199D" w14:paraId="086959AF" w14:textId="77777777" w:rsidTr="00F7199D">
        <w:trPr>
          <w:jc w:val="center"/>
        </w:trPr>
        <w:tc>
          <w:tcPr>
            <w:tcW w:w="1503" w:type="dxa"/>
            <w:vMerge/>
            <w:shd w:val="clear" w:color="auto" w:fill="auto"/>
            <w:vAlign w:val="center"/>
          </w:tcPr>
          <w:p w14:paraId="67AFFDFA" w14:textId="77777777" w:rsidR="00F7199D" w:rsidRPr="009C75E1" w:rsidRDefault="00F7199D" w:rsidP="00DA4753">
            <w:pPr>
              <w:keepNext/>
              <w:keepLines/>
              <w:rPr>
                <w:rFonts w:ascii="Arial" w:hAnsi="Arial" w:cs="Arial"/>
                <w:sz w:val="20"/>
                <w:szCs w:val="20"/>
              </w:rPr>
            </w:pPr>
          </w:p>
        </w:tc>
        <w:tc>
          <w:tcPr>
            <w:tcW w:w="1948" w:type="dxa"/>
            <w:shd w:val="clear" w:color="auto" w:fill="auto"/>
          </w:tcPr>
          <w:p w14:paraId="65AF4F63" w14:textId="77777777" w:rsidR="00F7199D" w:rsidRPr="009C75E1" w:rsidRDefault="00F7199D" w:rsidP="00DA4753">
            <w:pPr>
              <w:keepNext/>
              <w:keepLines/>
              <w:rPr>
                <w:rFonts w:ascii="Arial" w:hAnsi="Arial" w:cs="Arial"/>
                <w:sz w:val="20"/>
                <w:szCs w:val="20"/>
              </w:rPr>
            </w:pPr>
            <w:r w:rsidRPr="009C75E1">
              <w:rPr>
                <w:rFonts w:ascii="Arial" w:hAnsi="Arial" w:cs="Arial"/>
                <w:sz w:val="20"/>
                <w:szCs w:val="20"/>
              </w:rPr>
              <w:t>Load Impact (MW)</w:t>
            </w:r>
          </w:p>
        </w:tc>
        <w:tc>
          <w:tcPr>
            <w:tcW w:w="1726" w:type="dxa"/>
            <w:shd w:val="clear" w:color="auto" w:fill="auto"/>
          </w:tcPr>
          <w:p w14:paraId="47D58BDB" w14:textId="16C548F4" w:rsidR="00F7199D" w:rsidRPr="009C75E1" w:rsidRDefault="00F7199D" w:rsidP="00DA4753">
            <w:pPr>
              <w:keepNext/>
              <w:keepLines/>
              <w:jc w:val="center"/>
              <w:rPr>
                <w:rFonts w:ascii="Arial" w:hAnsi="Arial" w:cs="Arial"/>
                <w:sz w:val="20"/>
                <w:szCs w:val="20"/>
              </w:rPr>
            </w:pPr>
            <w:r>
              <w:rPr>
                <w:rFonts w:ascii="Arial" w:hAnsi="Arial" w:cs="Arial"/>
                <w:sz w:val="20"/>
                <w:szCs w:val="20"/>
              </w:rPr>
              <w:t>687</w:t>
            </w:r>
          </w:p>
        </w:tc>
        <w:tc>
          <w:tcPr>
            <w:tcW w:w="1727" w:type="dxa"/>
            <w:shd w:val="clear" w:color="auto" w:fill="auto"/>
          </w:tcPr>
          <w:p w14:paraId="66633EB3" w14:textId="7EC21CAE" w:rsidR="00F7199D" w:rsidRPr="009C75E1" w:rsidRDefault="00F7199D" w:rsidP="00DA4753">
            <w:pPr>
              <w:keepNext/>
              <w:keepLines/>
              <w:jc w:val="center"/>
              <w:rPr>
                <w:rFonts w:ascii="Arial" w:hAnsi="Arial" w:cs="Arial"/>
                <w:sz w:val="20"/>
                <w:szCs w:val="20"/>
              </w:rPr>
            </w:pPr>
            <w:r>
              <w:rPr>
                <w:rFonts w:ascii="Arial" w:hAnsi="Arial" w:cs="Arial"/>
                <w:sz w:val="20"/>
                <w:szCs w:val="20"/>
              </w:rPr>
              <w:t>624</w:t>
            </w:r>
          </w:p>
        </w:tc>
      </w:tr>
      <w:tr w:rsidR="00F7199D" w14:paraId="58C02FEF" w14:textId="77777777" w:rsidTr="00F7199D">
        <w:trPr>
          <w:jc w:val="center"/>
        </w:trPr>
        <w:tc>
          <w:tcPr>
            <w:tcW w:w="1503" w:type="dxa"/>
            <w:vMerge w:val="restart"/>
            <w:shd w:val="clear" w:color="auto" w:fill="auto"/>
            <w:vAlign w:val="center"/>
          </w:tcPr>
          <w:p w14:paraId="4CA23D54" w14:textId="77777777" w:rsidR="00F7199D" w:rsidRPr="009C75E1" w:rsidRDefault="00F7199D" w:rsidP="00DA4753">
            <w:pPr>
              <w:keepNext/>
              <w:keepLines/>
              <w:rPr>
                <w:rFonts w:ascii="Arial" w:hAnsi="Arial" w:cs="Arial"/>
                <w:b/>
                <w:sz w:val="20"/>
                <w:szCs w:val="20"/>
              </w:rPr>
            </w:pPr>
            <w:r w:rsidRPr="009C75E1">
              <w:rPr>
                <w:rFonts w:ascii="Arial" w:hAnsi="Arial" w:cs="Arial"/>
                <w:b/>
                <w:sz w:val="20"/>
                <w:szCs w:val="20"/>
              </w:rPr>
              <w:t>Per SAID</w:t>
            </w:r>
          </w:p>
        </w:tc>
        <w:tc>
          <w:tcPr>
            <w:tcW w:w="1948" w:type="dxa"/>
            <w:shd w:val="clear" w:color="auto" w:fill="auto"/>
          </w:tcPr>
          <w:p w14:paraId="0717A68C" w14:textId="77777777" w:rsidR="00F7199D" w:rsidRPr="009C75E1" w:rsidRDefault="00F7199D" w:rsidP="00DA4753">
            <w:pPr>
              <w:keepNext/>
              <w:keepLines/>
              <w:rPr>
                <w:rFonts w:ascii="Arial" w:hAnsi="Arial" w:cs="Arial"/>
                <w:sz w:val="20"/>
                <w:szCs w:val="20"/>
              </w:rPr>
            </w:pPr>
            <w:r w:rsidRPr="009C75E1">
              <w:rPr>
                <w:rFonts w:ascii="Arial" w:hAnsi="Arial" w:cs="Arial"/>
                <w:sz w:val="20"/>
                <w:szCs w:val="20"/>
              </w:rPr>
              <w:t>Reference (kW)</w:t>
            </w:r>
          </w:p>
        </w:tc>
        <w:tc>
          <w:tcPr>
            <w:tcW w:w="1726" w:type="dxa"/>
            <w:shd w:val="clear" w:color="auto" w:fill="auto"/>
          </w:tcPr>
          <w:p w14:paraId="55E1F114" w14:textId="65422DDD" w:rsidR="00F7199D" w:rsidRPr="009C75E1" w:rsidRDefault="00F7199D" w:rsidP="00DA4753">
            <w:pPr>
              <w:keepNext/>
              <w:keepLines/>
              <w:jc w:val="center"/>
              <w:rPr>
                <w:rFonts w:ascii="Arial" w:hAnsi="Arial" w:cs="Arial"/>
                <w:sz w:val="20"/>
                <w:szCs w:val="20"/>
              </w:rPr>
            </w:pPr>
            <w:r>
              <w:rPr>
                <w:rFonts w:ascii="Arial" w:hAnsi="Arial" w:cs="Arial"/>
                <w:sz w:val="20"/>
                <w:szCs w:val="20"/>
              </w:rPr>
              <w:t>1,264</w:t>
            </w:r>
          </w:p>
        </w:tc>
        <w:tc>
          <w:tcPr>
            <w:tcW w:w="1727" w:type="dxa"/>
            <w:shd w:val="clear" w:color="auto" w:fill="auto"/>
          </w:tcPr>
          <w:p w14:paraId="57EA7610" w14:textId="36ED00FC" w:rsidR="00F7199D" w:rsidRPr="009C75E1" w:rsidRDefault="00F7199D" w:rsidP="00DA4753">
            <w:pPr>
              <w:keepNext/>
              <w:keepLines/>
              <w:jc w:val="center"/>
              <w:rPr>
                <w:rFonts w:ascii="Arial" w:hAnsi="Arial" w:cs="Arial"/>
                <w:sz w:val="20"/>
                <w:szCs w:val="20"/>
              </w:rPr>
            </w:pPr>
            <w:r>
              <w:rPr>
                <w:rFonts w:ascii="Arial" w:hAnsi="Arial" w:cs="Arial"/>
                <w:sz w:val="20"/>
                <w:szCs w:val="20"/>
              </w:rPr>
              <w:t>1,218</w:t>
            </w:r>
          </w:p>
        </w:tc>
      </w:tr>
      <w:tr w:rsidR="00F7199D" w14:paraId="3A37C33E" w14:textId="77777777" w:rsidTr="00F7199D">
        <w:trPr>
          <w:jc w:val="center"/>
        </w:trPr>
        <w:tc>
          <w:tcPr>
            <w:tcW w:w="1503" w:type="dxa"/>
            <w:vMerge/>
            <w:shd w:val="clear" w:color="auto" w:fill="auto"/>
          </w:tcPr>
          <w:p w14:paraId="5FFBC1C8" w14:textId="77777777" w:rsidR="00F7199D" w:rsidRPr="009C75E1" w:rsidRDefault="00F7199D" w:rsidP="00DA4753">
            <w:pPr>
              <w:keepNext/>
              <w:keepLines/>
              <w:rPr>
                <w:rFonts w:ascii="Arial" w:hAnsi="Arial" w:cs="Arial"/>
                <w:sz w:val="20"/>
                <w:szCs w:val="20"/>
              </w:rPr>
            </w:pPr>
          </w:p>
        </w:tc>
        <w:tc>
          <w:tcPr>
            <w:tcW w:w="1948" w:type="dxa"/>
            <w:shd w:val="clear" w:color="auto" w:fill="auto"/>
          </w:tcPr>
          <w:p w14:paraId="58460D51" w14:textId="77777777" w:rsidR="00F7199D" w:rsidRPr="009C75E1" w:rsidRDefault="00F7199D" w:rsidP="00DA4753">
            <w:pPr>
              <w:keepNext/>
              <w:keepLines/>
              <w:rPr>
                <w:rFonts w:ascii="Arial" w:hAnsi="Arial" w:cs="Arial"/>
                <w:sz w:val="20"/>
                <w:szCs w:val="20"/>
              </w:rPr>
            </w:pPr>
            <w:r w:rsidRPr="009C75E1">
              <w:rPr>
                <w:rFonts w:ascii="Arial" w:hAnsi="Arial" w:cs="Arial"/>
                <w:sz w:val="20"/>
                <w:szCs w:val="20"/>
              </w:rPr>
              <w:t>Load Impact (kW)</w:t>
            </w:r>
          </w:p>
        </w:tc>
        <w:tc>
          <w:tcPr>
            <w:tcW w:w="1726" w:type="dxa"/>
            <w:shd w:val="clear" w:color="auto" w:fill="auto"/>
          </w:tcPr>
          <w:p w14:paraId="62C7FB12" w14:textId="36E67757" w:rsidR="00F7199D" w:rsidRPr="009C75E1" w:rsidRDefault="00F7199D" w:rsidP="00DA4753">
            <w:pPr>
              <w:keepNext/>
              <w:keepLines/>
              <w:jc w:val="center"/>
              <w:rPr>
                <w:rFonts w:ascii="Arial" w:hAnsi="Arial" w:cs="Arial"/>
                <w:sz w:val="20"/>
                <w:szCs w:val="20"/>
              </w:rPr>
            </w:pPr>
            <w:r>
              <w:rPr>
                <w:rFonts w:ascii="Arial" w:hAnsi="Arial" w:cs="Arial"/>
                <w:sz w:val="20"/>
                <w:szCs w:val="20"/>
              </w:rPr>
              <w:t>1,063</w:t>
            </w:r>
          </w:p>
        </w:tc>
        <w:tc>
          <w:tcPr>
            <w:tcW w:w="1727" w:type="dxa"/>
            <w:shd w:val="clear" w:color="auto" w:fill="auto"/>
          </w:tcPr>
          <w:p w14:paraId="2CF7D1C8" w14:textId="6D6E2E24" w:rsidR="00F7199D" w:rsidRPr="009C75E1" w:rsidRDefault="00F7199D" w:rsidP="00DA4753">
            <w:pPr>
              <w:keepNext/>
              <w:keepLines/>
              <w:jc w:val="center"/>
              <w:rPr>
                <w:rFonts w:ascii="Arial" w:hAnsi="Arial" w:cs="Arial"/>
                <w:sz w:val="20"/>
                <w:szCs w:val="20"/>
              </w:rPr>
            </w:pPr>
            <w:r>
              <w:rPr>
                <w:rFonts w:ascii="Arial" w:hAnsi="Arial" w:cs="Arial"/>
                <w:sz w:val="20"/>
                <w:szCs w:val="20"/>
              </w:rPr>
              <w:t>1,006</w:t>
            </w:r>
          </w:p>
        </w:tc>
      </w:tr>
      <w:tr w:rsidR="00F7199D" w14:paraId="61E75351" w14:textId="77777777" w:rsidTr="00F7199D">
        <w:trPr>
          <w:jc w:val="center"/>
        </w:trPr>
        <w:tc>
          <w:tcPr>
            <w:tcW w:w="1503" w:type="dxa"/>
            <w:vMerge/>
            <w:shd w:val="clear" w:color="auto" w:fill="auto"/>
          </w:tcPr>
          <w:p w14:paraId="0849F659" w14:textId="77777777" w:rsidR="00F7199D" w:rsidRPr="009C75E1" w:rsidRDefault="00F7199D" w:rsidP="00DA4753">
            <w:pPr>
              <w:keepNext/>
              <w:keepLines/>
              <w:rPr>
                <w:rFonts w:ascii="Arial" w:hAnsi="Arial" w:cs="Arial"/>
                <w:sz w:val="20"/>
                <w:szCs w:val="20"/>
              </w:rPr>
            </w:pPr>
          </w:p>
        </w:tc>
        <w:tc>
          <w:tcPr>
            <w:tcW w:w="1948" w:type="dxa"/>
            <w:shd w:val="clear" w:color="auto" w:fill="auto"/>
          </w:tcPr>
          <w:p w14:paraId="187C5920" w14:textId="77777777" w:rsidR="00F7199D" w:rsidRPr="009C75E1" w:rsidRDefault="00F7199D" w:rsidP="00DA4753">
            <w:pPr>
              <w:keepNext/>
              <w:keepLines/>
              <w:rPr>
                <w:rFonts w:ascii="Arial" w:hAnsi="Arial" w:cs="Arial"/>
                <w:sz w:val="20"/>
                <w:szCs w:val="20"/>
              </w:rPr>
            </w:pPr>
            <w:r w:rsidRPr="009C75E1">
              <w:rPr>
                <w:rFonts w:ascii="Arial" w:hAnsi="Arial" w:cs="Arial"/>
                <w:sz w:val="20"/>
                <w:szCs w:val="20"/>
              </w:rPr>
              <w:t>% Load Impact</w:t>
            </w:r>
          </w:p>
        </w:tc>
        <w:tc>
          <w:tcPr>
            <w:tcW w:w="1726" w:type="dxa"/>
            <w:shd w:val="clear" w:color="auto" w:fill="auto"/>
          </w:tcPr>
          <w:p w14:paraId="78ADCED4" w14:textId="15223B40" w:rsidR="00F7199D" w:rsidRPr="009C75E1" w:rsidRDefault="00F7199D" w:rsidP="00DA4753">
            <w:pPr>
              <w:keepNext/>
              <w:keepLines/>
              <w:jc w:val="center"/>
              <w:rPr>
                <w:rFonts w:ascii="Arial" w:hAnsi="Arial" w:cs="Arial"/>
                <w:sz w:val="20"/>
                <w:szCs w:val="20"/>
              </w:rPr>
            </w:pPr>
            <w:r>
              <w:rPr>
                <w:rFonts w:ascii="Arial" w:hAnsi="Arial" w:cs="Arial"/>
                <w:sz w:val="20"/>
                <w:szCs w:val="20"/>
              </w:rPr>
              <w:t>84.1%</w:t>
            </w:r>
          </w:p>
        </w:tc>
        <w:tc>
          <w:tcPr>
            <w:tcW w:w="1727" w:type="dxa"/>
            <w:shd w:val="clear" w:color="auto" w:fill="auto"/>
          </w:tcPr>
          <w:p w14:paraId="3EE492FA" w14:textId="01D542BE" w:rsidR="00F7199D" w:rsidRPr="009C75E1" w:rsidRDefault="00F7199D" w:rsidP="00DA4753">
            <w:pPr>
              <w:keepNext/>
              <w:keepLines/>
              <w:jc w:val="center"/>
              <w:rPr>
                <w:rFonts w:ascii="Arial" w:hAnsi="Arial" w:cs="Arial"/>
                <w:sz w:val="20"/>
                <w:szCs w:val="20"/>
              </w:rPr>
            </w:pPr>
            <w:r>
              <w:rPr>
                <w:rFonts w:ascii="Arial" w:hAnsi="Arial" w:cs="Arial"/>
                <w:sz w:val="20"/>
                <w:szCs w:val="20"/>
              </w:rPr>
              <w:t>82.6%</w:t>
            </w:r>
          </w:p>
        </w:tc>
      </w:tr>
    </w:tbl>
    <w:p w14:paraId="027423BF" w14:textId="77777777" w:rsidR="00DA4753" w:rsidRDefault="00DA4753" w:rsidP="00DA4753"/>
    <w:p w14:paraId="609A5508" w14:textId="77777777" w:rsidR="00DA4753" w:rsidRDefault="00DA4753" w:rsidP="00DA4753">
      <w:pPr>
        <w:pStyle w:val="Heading3"/>
      </w:pPr>
      <w:bookmarkStart w:id="222" w:name="_Toc383597958"/>
      <w:bookmarkStart w:id="223" w:name="_Toc415488982"/>
      <w:r>
        <w:t>6.2.2 Previous versus current ex ante</w:t>
      </w:r>
      <w:bookmarkEnd w:id="222"/>
      <w:bookmarkEnd w:id="223"/>
    </w:p>
    <w:p w14:paraId="1BBCF684" w14:textId="581D07A1" w:rsidR="00DA4753" w:rsidRDefault="00DA4753" w:rsidP="00DA4753">
      <w:r>
        <w:t>In this sub-section, we compare the ex ante forecast prepared following PY 2013 (the “previous study”) to the ex ante forecast contained in this study (the “current study”). Table 6.</w:t>
      </w:r>
      <w:r w:rsidR="00372CA5">
        <w:t>7</w:t>
      </w:r>
      <w:r>
        <w:t xml:space="preserve"> represents the forecast for the August 2015 utility-specific 1-in-2 peak month day. Both program-level and portfolio-level forecasts are included in the table.</w:t>
      </w:r>
    </w:p>
    <w:p w14:paraId="3B49DAEE" w14:textId="77777777" w:rsidR="00DA4753" w:rsidRDefault="00DA4753" w:rsidP="00DA4753"/>
    <w:p w14:paraId="1B60A00C" w14:textId="498E6537" w:rsidR="00DA4753" w:rsidRDefault="00DA4753" w:rsidP="00DA4753">
      <w:pPr>
        <w:pStyle w:val="TableCaption"/>
        <w:keepNext/>
        <w:keepLines/>
        <w:rPr>
          <w:i/>
        </w:rPr>
      </w:pPr>
      <w:bookmarkStart w:id="224" w:name="_Toc383598021"/>
      <w:bookmarkStart w:id="225" w:name="_Toc415489031"/>
      <w:r w:rsidRPr="00376F46">
        <w:t xml:space="preserve">Table </w:t>
      </w:r>
      <w:r>
        <w:t>6</w:t>
      </w:r>
      <w:r w:rsidRPr="00376F46">
        <w:t>.</w:t>
      </w:r>
      <w:r w:rsidR="00372CA5">
        <w:t>7</w:t>
      </w:r>
      <w:r w:rsidRPr="00376F46">
        <w:t xml:space="preserve">: Comparison of </w:t>
      </w:r>
      <w:r>
        <w:t xml:space="preserve">Ex Ante </w:t>
      </w:r>
      <w:r w:rsidRPr="00376F46">
        <w:t xml:space="preserve">Impacts </w:t>
      </w:r>
      <w:r>
        <w:t xml:space="preserve">from </w:t>
      </w:r>
      <w:r w:rsidRPr="00376F46">
        <w:t>PY 201</w:t>
      </w:r>
      <w:r>
        <w:t>3 and</w:t>
      </w:r>
      <w:r w:rsidRPr="00376F46">
        <w:t xml:space="preserve"> PY 201</w:t>
      </w:r>
      <w:r>
        <w:t>4 Studies</w:t>
      </w:r>
      <w:r w:rsidRPr="00376F46">
        <w:t xml:space="preserve">, </w:t>
      </w:r>
      <w:r>
        <w:rPr>
          <w:i/>
        </w:rPr>
        <w:t>SC</w:t>
      </w:r>
      <w:r w:rsidRPr="00376F46">
        <w:rPr>
          <w:i/>
        </w:rPr>
        <w:t>E</w:t>
      </w:r>
      <w:bookmarkEnd w:id="224"/>
      <w:bookmarkEnd w:id="2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980"/>
        <w:gridCol w:w="1476"/>
        <w:gridCol w:w="1404"/>
      </w:tblGrid>
      <w:tr w:rsidR="00EB76B2" w14:paraId="069A6B1A" w14:textId="77777777" w:rsidTr="00173834">
        <w:trPr>
          <w:jc w:val="center"/>
        </w:trPr>
        <w:tc>
          <w:tcPr>
            <w:tcW w:w="1188" w:type="dxa"/>
            <w:shd w:val="clear" w:color="auto" w:fill="D9E2F3"/>
            <w:vAlign w:val="center"/>
          </w:tcPr>
          <w:p w14:paraId="3D783B81" w14:textId="77777777" w:rsidR="00EB76B2" w:rsidRPr="009C75E1" w:rsidRDefault="00EB76B2" w:rsidP="00173834">
            <w:pPr>
              <w:keepNext/>
              <w:keepLines/>
              <w:jc w:val="center"/>
              <w:rPr>
                <w:rFonts w:ascii="Arial" w:hAnsi="Arial" w:cs="Arial"/>
                <w:b/>
                <w:sz w:val="20"/>
                <w:szCs w:val="20"/>
              </w:rPr>
            </w:pPr>
            <w:r w:rsidRPr="009C75E1">
              <w:rPr>
                <w:rFonts w:ascii="Arial" w:hAnsi="Arial" w:cs="Arial"/>
                <w:b/>
                <w:sz w:val="20"/>
                <w:szCs w:val="20"/>
              </w:rPr>
              <w:t>Level</w:t>
            </w:r>
          </w:p>
        </w:tc>
        <w:tc>
          <w:tcPr>
            <w:tcW w:w="1980" w:type="dxa"/>
            <w:shd w:val="clear" w:color="auto" w:fill="D9E2F3"/>
            <w:vAlign w:val="center"/>
          </w:tcPr>
          <w:p w14:paraId="488F8BB8" w14:textId="77777777" w:rsidR="00EB76B2" w:rsidRPr="009C75E1" w:rsidRDefault="00EB76B2" w:rsidP="00173834">
            <w:pPr>
              <w:keepNext/>
              <w:keepLines/>
              <w:jc w:val="center"/>
              <w:rPr>
                <w:rFonts w:ascii="Arial" w:hAnsi="Arial" w:cs="Arial"/>
                <w:b/>
                <w:sz w:val="20"/>
                <w:szCs w:val="20"/>
              </w:rPr>
            </w:pPr>
            <w:r w:rsidRPr="009C75E1">
              <w:rPr>
                <w:rFonts w:ascii="Arial" w:hAnsi="Arial" w:cs="Arial"/>
                <w:b/>
                <w:sz w:val="20"/>
                <w:szCs w:val="20"/>
              </w:rPr>
              <w:t>Outcome</w:t>
            </w:r>
          </w:p>
        </w:tc>
        <w:tc>
          <w:tcPr>
            <w:tcW w:w="1476" w:type="dxa"/>
            <w:shd w:val="clear" w:color="auto" w:fill="D9E2F3"/>
            <w:vAlign w:val="center"/>
          </w:tcPr>
          <w:p w14:paraId="45EFF31A" w14:textId="77777777" w:rsidR="00EB76B2" w:rsidRPr="009C75E1" w:rsidRDefault="00EB76B2" w:rsidP="00173834">
            <w:pPr>
              <w:keepNext/>
              <w:keepLines/>
              <w:jc w:val="center"/>
              <w:rPr>
                <w:rFonts w:ascii="Arial" w:hAnsi="Arial" w:cs="Arial"/>
                <w:b/>
                <w:sz w:val="20"/>
                <w:szCs w:val="20"/>
              </w:rPr>
            </w:pPr>
          </w:p>
          <w:p w14:paraId="214DFD72" w14:textId="77777777" w:rsidR="00EB76B2" w:rsidRPr="009C75E1" w:rsidRDefault="00EB76B2" w:rsidP="00173834">
            <w:pPr>
              <w:keepNext/>
              <w:keepLines/>
              <w:jc w:val="center"/>
              <w:rPr>
                <w:rFonts w:ascii="Arial" w:hAnsi="Arial" w:cs="Arial"/>
                <w:b/>
                <w:sz w:val="20"/>
                <w:szCs w:val="20"/>
              </w:rPr>
            </w:pPr>
            <w:r w:rsidRPr="009C75E1">
              <w:rPr>
                <w:rFonts w:ascii="Arial" w:hAnsi="Arial" w:cs="Arial"/>
                <w:b/>
                <w:sz w:val="20"/>
                <w:szCs w:val="20"/>
              </w:rPr>
              <w:t>Previous</w:t>
            </w:r>
            <w:r>
              <w:rPr>
                <w:rFonts w:ascii="Arial" w:hAnsi="Arial" w:cs="Arial"/>
                <w:b/>
                <w:sz w:val="20"/>
                <w:szCs w:val="20"/>
              </w:rPr>
              <w:t xml:space="preserve"> Study 2015</w:t>
            </w:r>
          </w:p>
          <w:p w14:paraId="4800BF74" w14:textId="77777777" w:rsidR="00EB76B2" w:rsidRPr="009C75E1" w:rsidRDefault="00EB76B2" w:rsidP="00173834">
            <w:pPr>
              <w:keepNext/>
              <w:keepLines/>
              <w:jc w:val="center"/>
              <w:rPr>
                <w:rFonts w:ascii="Arial" w:hAnsi="Arial" w:cs="Arial"/>
                <w:b/>
                <w:sz w:val="20"/>
                <w:szCs w:val="20"/>
              </w:rPr>
            </w:pPr>
          </w:p>
        </w:tc>
        <w:tc>
          <w:tcPr>
            <w:tcW w:w="1404" w:type="dxa"/>
            <w:shd w:val="clear" w:color="auto" w:fill="D9E2F3"/>
            <w:vAlign w:val="center"/>
          </w:tcPr>
          <w:p w14:paraId="5FBD9217" w14:textId="77777777" w:rsidR="00EB76B2" w:rsidRPr="009C75E1" w:rsidRDefault="00EB76B2" w:rsidP="00173834">
            <w:pPr>
              <w:keepNext/>
              <w:keepLines/>
              <w:jc w:val="center"/>
              <w:rPr>
                <w:rFonts w:ascii="Arial" w:hAnsi="Arial" w:cs="Arial"/>
                <w:b/>
                <w:sz w:val="20"/>
                <w:szCs w:val="20"/>
              </w:rPr>
            </w:pPr>
            <w:r w:rsidRPr="009C75E1">
              <w:rPr>
                <w:rFonts w:ascii="Arial" w:hAnsi="Arial" w:cs="Arial"/>
                <w:b/>
                <w:sz w:val="20"/>
                <w:szCs w:val="20"/>
              </w:rPr>
              <w:t>Current</w:t>
            </w:r>
            <w:r>
              <w:rPr>
                <w:rFonts w:ascii="Arial" w:hAnsi="Arial" w:cs="Arial"/>
                <w:b/>
                <w:sz w:val="20"/>
                <w:szCs w:val="20"/>
              </w:rPr>
              <w:t xml:space="preserve"> Study</w:t>
            </w:r>
            <w:r w:rsidRPr="009C75E1">
              <w:rPr>
                <w:rFonts w:ascii="Arial" w:hAnsi="Arial" w:cs="Arial"/>
                <w:b/>
                <w:sz w:val="20"/>
                <w:szCs w:val="20"/>
              </w:rPr>
              <w:t xml:space="preserve"> 201</w:t>
            </w:r>
            <w:r>
              <w:rPr>
                <w:rFonts w:ascii="Arial" w:hAnsi="Arial" w:cs="Arial"/>
                <w:b/>
                <w:sz w:val="20"/>
                <w:szCs w:val="20"/>
              </w:rPr>
              <w:t>5</w:t>
            </w:r>
          </w:p>
        </w:tc>
      </w:tr>
      <w:tr w:rsidR="00EB76B2" w14:paraId="00FC4411" w14:textId="77777777" w:rsidTr="00173834">
        <w:trPr>
          <w:jc w:val="center"/>
        </w:trPr>
        <w:tc>
          <w:tcPr>
            <w:tcW w:w="1188" w:type="dxa"/>
            <w:vMerge w:val="restart"/>
            <w:shd w:val="clear" w:color="auto" w:fill="auto"/>
            <w:vAlign w:val="center"/>
          </w:tcPr>
          <w:p w14:paraId="6D0B89C0" w14:textId="77777777" w:rsidR="00EB76B2" w:rsidRPr="009C75E1" w:rsidRDefault="00EB76B2" w:rsidP="00173834">
            <w:pPr>
              <w:keepNext/>
              <w:keepLines/>
              <w:rPr>
                <w:rFonts w:ascii="Arial" w:hAnsi="Arial" w:cs="Arial"/>
                <w:b/>
                <w:sz w:val="20"/>
                <w:szCs w:val="20"/>
              </w:rPr>
            </w:pPr>
            <w:r w:rsidRPr="009C75E1">
              <w:rPr>
                <w:rFonts w:ascii="Arial" w:hAnsi="Arial" w:cs="Arial"/>
                <w:b/>
                <w:sz w:val="20"/>
                <w:szCs w:val="20"/>
              </w:rPr>
              <w:t>Total</w:t>
            </w:r>
          </w:p>
        </w:tc>
        <w:tc>
          <w:tcPr>
            <w:tcW w:w="1980" w:type="dxa"/>
            <w:shd w:val="clear" w:color="auto" w:fill="auto"/>
          </w:tcPr>
          <w:p w14:paraId="6EB08BA0" w14:textId="77777777" w:rsidR="00EB76B2" w:rsidRPr="009C75E1" w:rsidRDefault="00EB76B2" w:rsidP="00173834">
            <w:pPr>
              <w:keepNext/>
              <w:keepLines/>
              <w:rPr>
                <w:rFonts w:ascii="Arial" w:hAnsi="Arial" w:cs="Arial"/>
                <w:sz w:val="20"/>
                <w:szCs w:val="20"/>
              </w:rPr>
            </w:pPr>
            <w:r w:rsidRPr="009C75E1">
              <w:rPr>
                <w:rFonts w:ascii="Arial" w:hAnsi="Arial" w:cs="Arial"/>
                <w:sz w:val="20"/>
                <w:szCs w:val="20"/>
              </w:rPr>
              <w:t># SAIDs</w:t>
            </w:r>
          </w:p>
        </w:tc>
        <w:tc>
          <w:tcPr>
            <w:tcW w:w="1476" w:type="dxa"/>
            <w:shd w:val="clear" w:color="auto" w:fill="auto"/>
          </w:tcPr>
          <w:p w14:paraId="05E96327" w14:textId="06755C45" w:rsidR="00EB76B2" w:rsidRPr="009C75E1" w:rsidRDefault="004A4DAC" w:rsidP="00173834">
            <w:pPr>
              <w:keepNext/>
              <w:keepLines/>
              <w:jc w:val="center"/>
              <w:rPr>
                <w:rFonts w:ascii="Arial" w:hAnsi="Arial" w:cs="Arial"/>
                <w:sz w:val="20"/>
                <w:szCs w:val="20"/>
              </w:rPr>
            </w:pPr>
            <w:r>
              <w:rPr>
                <w:rFonts w:ascii="Arial" w:hAnsi="Arial" w:cs="Arial"/>
                <w:sz w:val="20"/>
                <w:szCs w:val="20"/>
              </w:rPr>
              <w:t>610</w:t>
            </w:r>
          </w:p>
        </w:tc>
        <w:tc>
          <w:tcPr>
            <w:tcW w:w="1404" w:type="dxa"/>
            <w:shd w:val="clear" w:color="auto" w:fill="auto"/>
          </w:tcPr>
          <w:p w14:paraId="658D838A" w14:textId="24849602" w:rsidR="00EB76B2" w:rsidRPr="009C75E1" w:rsidRDefault="006753ED" w:rsidP="00173834">
            <w:pPr>
              <w:keepNext/>
              <w:keepLines/>
              <w:jc w:val="center"/>
              <w:rPr>
                <w:rFonts w:ascii="Arial" w:hAnsi="Arial" w:cs="Arial"/>
                <w:sz w:val="20"/>
                <w:szCs w:val="20"/>
              </w:rPr>
            </w:pPr>
            <w:r>
              <w:rPr>
                <w:rFonts w:ascii="Arial" w:hAnsi="Arial" w:cs="Arial"/>
                <w:sz w:val="20"/>
                <w:szCs w:val="20"/>
              </w:rPr>
              <w:t>580</w:t>
            </w:r>
          </w:p>
        </w:tc>
      </w:tr>
      <w:tr w:rsidR="00EB76B2" w14:paraId="1992257D" w14:textId="77777777" w:rsidTr="00173834">
        <w:trPr>
          <w:trHeight w:val="242"/>
          <w:jc w:val="center"/>
        </w:trPr>
        <w:tc>
          <w:tcPr>
            <w:tcW w:w="1188" w:type="dxa"/>
            <w:vMerge/>
            <w:shd w:val="clear" w:color="auto" w:fill="auto"/>
            <w:vAlign w:val="center"/>
          </w:tcPr>
          <w:p w14:paraId="68CBE81C" w14:textId="77777777" w:rsidR="00EB76B2" w:rsidRPr="009C75E1" w:rsidRDefault="00EB76B2" w:rsidP="00173834">
            <w:pPr>
              <w:keepNext/>
              <w:keepLines/>
              <w:rPr>
                <w:rFonts w:ascii="Arial" w:hAnsi="Arial" w:cs="Arial"/>
                <w:sz w:val="20"/>
                <w:szCs w:val="20"/>
              </w:rPr>
            </w:pPr>
          </w:p>
        </w:tc>
        <w:tc>
          <w:tcPr>
            <w:tcW w:w="1980" w:type="dxa"/>
            <w:shd w:val="clear" w:color="auto" w:fill="auto"/>
          </w:tcPr>
          <w:p w14:paraId="71947341" w14:textId="77777777" w:rsidR="00EB76B2" w:rsidRPr="009C75E1" w:rsidRDefault="00EB76B2" w:rsidP="00173834">
            <w:pPr>
              <w:keepNext/>
              <w:keepLines/>
              <w:rPr>
                <w:rFonts w:ascii="Arial" w:hAnsi="Arial" w:cs="Arial"/>
                <w:sz w:val="20"/>
                <w:szCs w:val="20"/>
              </w:rPr>
            </w:pPr>
            <w:r w:rsidRPr="009C75E1">
              <w:rPr>
                <w:rFonts w:ascii="Arial" w:hAnsi="Arial" w:cs="Arial"/>
                <w:sz w:val="20"/>
                <w:szCs w:val="20"/>
              </w:rPr>
              <w:t>Reference (MW)</w:t>
            </w:r>
          </w:p>
        </w:tc>
        <w:tc>
          <w:tcPr>
            <w:tcW w:w="1476" w:type="dxa"/>
            <w:shd w:val="clear" w:color="auto" w:fill="auto"/>
          </w:tcPr>
          <w:p w14:paraId="67167E4B" w14:textId="5F618647" w:rsidR="00EB76B2" w:rsidRPr="009C75E1" w:rsidRDefault="004A4DAC" w:rsidP="00173834">
            <w:pPr>
              <w:keepNext/>
              <w:keepLines/>
              <w:jc w:val="center"/>
              <w:rPr>
                <w:rFonts w:ascii="Arial" w:hAnsi="Arial" w:cs="Arial"/>
                <w:sz w:val="20"/>
                <w:szCs w:val="20"/>
              </w:rPr>
            </w:pPr>
            <w:r>
              <w:rPr>
                <w:rFonts w:ascii="Arial" w:hAnsi="Arial" w:cs="Arial"/>
                <w:sz w:val="20"/>
                <w:szCs w:val="20"/>
              </w:rPr>
              <w:t>780</w:t>
            </w:r>
          </w:p>
        </w:tc>
        <w:tc>
          <w:tcPr>
            <w:tcW w:w="1404" w:type="dxa"/>
            <w:shd w:val="clear" w:color="auto" w:fill="auto"/>
          </w:tcPr>
          <w:p w14:paraId="64F802D9" w14:textId="225CEC55" w:rsidR="00EB76B2" w:rsidRPr="009C75E1" w:rsidRDefault="001B06A2" w:rsidP="00173834">
            <w:pPr>
              <w:keepNext/>
              <w:keepLines/>
              <w:jc w:val="center"/>
              <w:rPr>
                <w:rFonts w:ascii="Arial" w:hAnsi="Arial" w:cs="Arial"/>
                <w:sz w:val="20"/>
                <w:szCs w:val="20"/>
              </w:rPr>
            </w:pPr>
            <w:r>
              <w:rPr>
                <w:rFonts w:ascii="Arial" w:hAnsi="Arial" w:cs="Arial"/>
                <w:sz w:val="20"/>
                <w:szCs w:val="20"/>
              </w:rPr>
              <w:t>823</w:t>
            </w:r>
          </w:p>
        </w:tc>
      </w:tr>
      <w:tr w:rsidR="00EB76B2" w14:paraId="20F1CD3E" w14:textId="77777777" w:rsidTr="00173834">
        <w:trPr>
          <w:jc w:val="center"/>
        </w:trPr>
        <w:tc>
          <w:tcPr>
            <w:tcW w:w="1188" w:type="dxa"/>
            <w:vMerge/>
            <w:shd w:val="clear" w:color="auto" w:fill="auto"/>
            <w:vAlign w:val="center"/>
          </w:tcPr>
          <w:p w14:paraId="16B4DA0B" w14:textId="77777777" w:rsidR="00EB76B2" w:rsidRPr="009C75E1" w:rsidRDefault="00EB76B2" w:rsidP="00173834">
            <w:pPr>
              <w:keepNext/>
              <w:keepLines/>
              <w:rPr>
                <w:rFonts w:ascii="Arial" w:hAnsi="Arial" w:cs="Arial"/>
                <w:sz w:val="20"/>
                <w:szCs w:val="20"/>
              </w:rPr>
            </w:pPr>
          </w:p>
        </w:tc>
        <w:tc>
          <w:tcPr>
            <w:tcW w:w="1980" w:type="dxa"/>
            <w:shd w:val="clear" w:color="auto" w:fill="auto"/>
          </w:tcPr>
          <w:p w14:paraId="331DA33A" w14:textId="77777777" w:rsidR="00EB76B2" w:rsidRPr="009C75E1" w:rsidRDefault="00EB76B2" w:rsidP="00173834">
            <w:pPr>
              <w:keepNext/>
              <w:keepLines/>
              <w:rPr>
                <w:rFonts w:ascii="Arial" w:hAnsi="Arial" w:cs="Arial"/>
                <w:sz w:val="20"/>
                <w:szCs w:val="20"/>
              </w:rPr>
            </w:pPr>
            <w:r w:rsidRPr="009C75E1">
              <w:rPr>
                <w:rFonts w:ascii="Arial" w:hAnsi="Arial" w:cs="Arial"/>
                <w:sz w:val="20"/>
                <w:szCs w:val="20"/>
              </w:rPr>
              <w:t>Load Impact (MW)</w:t>
            </w:r>
          </w:p>
        </w:tc>
        <w:tc>
          <w:tcPr>
            <w:tcW w:w="1476" w:type="dxa"/>
            <w:shd w:val="clear" w:color="auto" w:fill="auto"/>
          </w:tcPr>
          <w:p w14:paraId="130BA9A3" w14:textId="3B692903" w:rsidR="00EB76B2" w:rsidRPr="009C75E1" w:rsidRDefault="004A4DAC" w:rsidP="00173834">
            <w:pPr>
              <w:keepNext/>
              <w:keepLines/>
              <w:jc w:val="center"/>
              <w:rPr>
                <w:rFonts w:ascii="Arial" w:hAnsi="Arial" w:cs="Arial"/>
                <w:sz w:val="20"/>
                <w:szCs w:val="20"/>
              </w:rPr>
            </w:pPr>
            <w:r>
              <w:rPr>
                <w:rFonts w:ascii="Arial" w:hAnsi="Arial" w:cs="Arial"/>
                <w:sz w:val="20"/>
                <w:szCs w:val="20"/>
              </w:rPr>
              <w:t>650</w:t>
            </w:r>
          </w:p>
        </w:tc>
        <w:tc>
          <w:tcPr>
            <w:tcW w:w="1404" w:type="dxa"/>
            <w:shd w:val="clear" w:color="auto" w:fill="auto"/>
          </w:tcPr>
          <w:p w14:paraId="41778338" w14:textId="0E6F1F09" w:rsidR="00EB76B2" w:rsidRPr="009C75E1" w:rsidRDefault="001B06A2" w:rsidP="00173834">
            <w:pPr>
              <w:keepNext/>
              <w:keepLines/>
              <w:jc w:val="center"/>
              <w:rPr>
                <w:rFonts w:ascii="Arial" w:hAnsi="Arial" w:cs="Arial"/>
                <w:sz w:val="20"/>
                <w:szCs w:val="20"/>
              </w:rPr>
            </w:pPr>
            <w:r>
              <w:rPr>
                <w:rFonts w:ascii="Arial" w:hAnsi="Arial" w:cs="Arial"/>
                <w:sz w:val="20"/>
                <w:szCs w:val="20"/>
              </w:rPr>
              <w:t>668</w:t>
            </w:r>
          </w:p>
        </w:tc>
      </w:tr>
      <w:tr w:rsidR="00EB76B2" w14:paraId="3EAD8B79" w14:textId="77777777" w:rsidTr="00173834">
        <w:trPr>
          <w:jc w:val="center"/>
        </w:trPr>
        <w:tc>
          <w:tcPr>
            <w:tcW w:w="1188" w:type="dxa"/>
            <w:vMerge w:val="restart"/>
            <w:shd w:val="clear" w:color="auto" w:fill="auto"/>
            <w:vAlign w:val="center"/>
          </w:tcPr>
          <w:p w14:paraId="775B8B74" w14:textId="77777777" w:rsidR="00EB76B2" w:rsidRPr="009C75E1" w:rsidRDefault="00EB76B2" w:rsidP="00173834">
            <w:pPr>
              <w:keepNext/>
              <w:keepLines/>
              <w:rPr>
                <w:rFonts w:ascii="Arial" w:hAnsi="Arial" w:cs="Arial"/>
                <w:b/>
                <w:sz w:val="20"/>
                <w:szCs w:val="20"/>
              </w:rPr>
            </w:pPr>
            <w:r w:rsidRPr="009C75E1">
              <w:rPr>
                <w:rFonts w:ascii="Arial" w:hAnsi="Arial" w:cs="Arial"/>
                <w:b/>
                <w:sz w:val="20"/>
                <w:szCs w:val="20"/>
              </w:rPr>
              <w:t>Per SAID</w:t>
            </w:r>
          </w:p>
        </w:tc>
        <w:tc>
          <w:tcPr>
            <w:tcW w:w="1980" w:type="dxa"/>
            <w:shd w:val="clear" w:color="auto" w:fill="auto"/>
          </w:tcPr>
          <w:p w14:paraId="0E01C95F" w14:textId="77777777" w:rsidR="00EB76B2" w:rsidRPr="009C75E1" w:rsidRDefault="00EB76B2" w:rsidP="00173834">
            <w:pPr>
              <w:keepNext/>
              <w:keepLines/>
              <w:rPr>
                <w:rFonts w:ascii="Arial" w:hAnsi="Arial" w:cs="Arial"/>
                <w:sz w:val="20"/>
                <w:szCs w:val="20"/>
              </w:rPr>
            </w:pPr>
            <w:r w:rsidRPr="009C75E1">
              <w:rPr>
                <w:rFonts w:ascii="Arial" w:hAnsi="Arial" w:cs="Arial"/>
                <w:sz w:val="20"/>
                <w:szCs w:val="20"/>
              </w:rPr>
              <w:t>Reference (kW)</w:t>
            </w:r>
          </w:p>
        </w:tc>
        <w:tc>
          <w:tcPr>
            <w:tcW w:w="1476" w:type="dxa"/>
            <w:shd w:val="clear" w:color="auto" w:fill="auto"/>
          </w:tcPr>
          <w:p w14:paraId="7596E819" w14:textId="7DE52C41" w:rsidR="00EB76B2" w:rsidRPr="009C75E1" w:rsidRDefault="004A4DAC" w:rsidP="00173834">
            <w:pPr>
              <w:keepNext/>
              <w:keepLines/>
              <w:jc w:val="center"/>
              <w:rPr>
                <w:rFonts w:ascii="Arial" w:hAnsi="Arial" w:cs="Arial"/>
                <w:sz w:val="20"/>
                <w:szCs w:val="20"/>
              </w:rPr>
            </w:pPr>
            <w:r>
              <w:rPr>
                <w:rFonts w:ascii="Arial" w:hAnsi="Arial" w:cs="Arial"/>
                <w:sz w:val="20"/>
                <w:szCs w:val="20"/>
              </w:rPr>
              <w:t>1,278</w:t>
            </w:r>
          </w:p>
        </w:tc>
        <w:tc>
          <w:tcPr>
            <w:tcW w:w="1404" w:type="dxa"/>
            <w:shd w:val="clear" w:color="auto" w:fill="auto"/>
          </w:tcPr>
          <w:p w14:paraId="3952F5D4" w14:textId="24A7F4ED" w:rsidR="00EB76B2" w:rsidRPr="009C75E1" w:rsidRDefault="001B06A2" w:rsidP="00173834">
            <w:pPr>
              <w:keepNext/>
              <w:keepLines/>
              <w:jc w:val="center"/>
              <w:rPr>
                <w:rFonts w:ascii="Arial" w:hAnsi="Arial" w:cs="Arial"/>
                <w:sz w:val="20"/>
                <w:szCs w:val="20"/>
              </w:rPr>
            </w:pPr>
            <w:r>
              <w:rPr>
                <w:rFonts w:ascii="Arial" w:hAnsi="Arial" w:cs="Arial"/>
                <w:sz w:val="20"/>
                <w:szCs w:val="20"/>
              </w:rPr>
              <w:t>1,419</w:t>
            </w:r>
          </w:p>
        </w:tc>
      </w:tr>
      <w:tr w:rsidR="00EB76B2" w14:paraId="3AB0B033" w14:textId="77777777" w:rsidTr="00173834">
        <w:trPr>
          <w:jc w:val="center"/>
        </w:trPr>
        <w:tc>
          <w:tcPr>
            <w:tcW w:w="1188" w:type="dxa"/>
            <w:vMerge/>
            <w:shd w:val="clear" w:color="auto" w:fill="auto"/>
          </w:tcPr>
          <w:p w14:paraId="22CC8969" w14:textId="77777777" w:rsidR="00EB76B2" w:rsidRPr="009C75E1" w:rsidRDefault="00EB76B2" w:rsidP="00173834">
            <w:pPr>
              <w:keepNext/>
              <w:keepLines/>
              <w:rPr>
                <w:rFonts w:ascii="Arial" w:hAnsi="Arial" w:cs="Arial"/>
                <w:sz w:val="20"/>
                <w:szCs w:val="20"/>
              </w:rPr>
            </w:pPr>
          </w:p>
        </w:tc>
        <w:tc>
          <w:tcPr>
            <w:tcW w:w="1980" w:type="dxa"/>
            <w:shd w:val="clear" w:color="auto" w:fill="auto"/>
          </w:tcPr>
          <w:p w14:paraId="1BC03C91" w14:textId="77777777" w:rsidR="00EB76B2" w:rsidRPr="009C75E1" w:rsidRDefault="00EB76B2" w:rsidP="00173834">
            <w:pPr>
              <w:keepNext/>
              <w:keepLines/>
              <w:rPr>
                <w:rFonts w:ascii="Arial" w:hAnsi="Arial" w:cs="Arial"/>
                <w:sz w:val="20"/>
                <w:szCs w:val="20"/>
              </w:rPr>
            </w:pPr>
            <w:r w:rsidRPr="009C75E1">
              <w:rPr>
                <w:rFonts w:ascii="Arial" w:hAnsi="Arial" w:cs="Arial"/>
                <w:sz w:val="20"/>
                <w:szCs w:val="20"/>
              </w:rPr>
              <w:t>Load Impact (kW)</w:t>
            </w:r>
          </w:p>
        </w:tc>
        <w:tc>
          <w:tcPr>
            <w:tcW w:w="1476" w:type="dxa"/>
            <w:shd w:val="clear" w:color="auto" w:fill="auto"/>
          </w:tcPr>
          <w:p w14:paraId="38E03BBA" w14:textId="7F01AA0A" w:rsidR="00EB76B2" w:rsidRPr="009C75E1" w:rsidRDefault="004A4DAC" w:rsidP="00173834">
            <w:pPr>
              <w:keepNext/>
              <w:keepLines/>
              <w:jc w:val="center"/>
              <w:rPr>
                <w:rFonts w:ascii="Arial" w:hAnsi="Arial" w:cs="Arial"/>
                <w:sz w:val="20"/>
                <w:szCs w:val="20"/>
              </w:rPr>
            </w:pPr>
            <w:r>
              <w:rPr>
                <w:rFonts w:ascii="Arial" w:hAnsi="Arial" w:cs="Arial"/>
                <w:sz w:val="20"/>
                <w:szCs w:val="20"/>
              </w:rPr>
              <w:t>1,065</w:t>
            </w:r>
          </w:p>
        </w:tc>
        <w:tc>
          <w:tcPr>
            <w:tcW w:w="1404" w:type="dxa"/>
            <w:shd w:val="clear" w:color="auto" w:fill="auto"/>
          </w:tcPr>
          <w:p w14:paraId="0D601921" w14:textId="5628FEE5" w:rsidR="00EB76B2" w:rsidRPr="009C75E1" w:rsidRDefault="001B06A2" w:rsidP="00173834">
            <w:pPr>
              <w:keepNext/>
              <w:keepLines/>
              <w:jc w:val="center"/>
              <w:rPr>
                <w:rFonts w:ascii="Arial" w:hAnsi="Arial" w:cs="Arial"/>
                <w:sz w:val="20"/>
                <w:szCs w:val="20"/>
              </w:rPr>
            </w:pPr>
            <w:r>
              <w:rPr>
                <w:rFonts w:ascii="Arial" w:hAnsi="Arial" w:cs="Arial"/>
                <w:sz w:val="20"/>
                <w:szCs w:val="20"/>
              </w:rPr>
              <w:t>1,152</w:t>
            </w:r>
          </w:p>
        </w:tc>
      </w:tr>
      <w:tr w:rsidR="00EB76B2" w14:paraId="31102AFE" w14:textId="77777777" w:rsidTr="00173834">
        <w:trPr>
          <w:jc w:val="center"/>
        </w:trPr>
        <w:tc>
          <w:tcPr>
            <w:tcW w:w="1188" w:type="dxa"/>
            <w:vMerge/>
            <w:shd w:val="clear" w:color="auto" w:fill="auto"/>
          </w:tcPr>
          <w:p w14:paraId="27646A9F" w14:textId="77777777" w:rsidR="00EB76B2" w:rsidRPr="009C75E1" w:rsidRDefault="00EB76B2" w:rsidP="00173834">
            <w:pPr>
              <w:keepNext/>
              <w:keepLines/>
              <w:rPr>
                <w:rFonts w:ascii="Arial" w:hAnsi="Arial" w:cs="Arial"/>
                <w:sz w:val="20"/>
                <w:szCs w:val="20"/>
              </w:rPr>
            </w:pPr>
          </w:p>
        </w:tc>
        <w:tc>
          <w:tcPr>
            <w:tcW w:w="1980" w:type="dxa"/>
            <w:shd w:val="clear" w:color="auto" w:fill="auto"/>
          </w:tcPr>
          <w:p w14:paraId="525B2449" w14:textId="77777777" w:rsidR="00EB76B2" w:rsidRPr="009C75E1" w:rsidRDefault="00EB76B2" w:rsidP="00173834">
            <w:pPr>
              <w:keepNext/>
              <w:keepLines/>
              <w:rPr>
                <w:rFonts w:ascii="Arial" w:hAnsi="Arial" w:cs="Arial"/>
                <w:sz w:val="20"/>
                <w:szCs w:val="20"/>
              </w:rPr>
            </w:pPr>
            <w:r w:rsidRPr="009C75E1">
              <w:rPr>
                <w:rFonts w:ascii="Arial" w:hAnsi="Arial" w:cs="Arial"/>
                <w:sz w:val="20"/>
                <w:szCs w:val="20"/>
              </w:rPr>
              <w:t>% Load Impact</w:t>
            </w:r>
          </w:p>
        </w:tc>
        <w:tc>
          <w:tcPr>
            <w:tcW w:w="1476" w:type="dxa"/>
            <w:shd w:val="clear" w:color="auto" w:fill="auto"/>
          </w:tcPr>
          <w:p w14:paraId="0D8BEC26" w14:textId="4468AEAB" w:rsidR="00EB76B2" w:rsidRPr="009C75E1" w:rsidRDefault="004A4DAC" w:rsidP="00173834">
            <w:pPr>
              <w:keepNext/>
              <w:keepLines/>
              <w:jc w:val="center"/>
              <w:rPr>
                <w:rFonts w:ascii="Arial" w:hAnsi="Arial" w:cs="Arial"/>
                <w:sz w:val="20"/>
                <w:szCs w:val="20"/>
              </w:rPr>
            </w:pPr>
            <w:r>
              <w:rPr>
                <w:rFonts w:ascii="Arial" w:hAnsi="Arial" w:cs="Arial"/>
                <w:sz w:val="20"/>
                <w:szCs w:val="20"/>
              </w:rPr>
              <w:t>83.3%</w:t>
            </w:r>
          </w:p>
        </w:tc>
        <w:tc>
          <w:tcPr>
            <w:tcW w:w="1404" w:type="dxa"/>
            <w:shd w:val="clear" w:color="auto" w:fill="auto"/>
          </w:tcPr>
          <w:p w14:paraId="4BEF294C" w14:textId="15FCB14D" w:rsidR="00EB76B2" w:rsidRPr="009C75E1" w:rsidRDefault="001B06A2" w:rsidP="001B06A2">
            <w:pPr>
              <w:keepNext/>
              <w:keepLines/>
              <w:jc w:val="center"/>
              <w:rPr>
                <w:rFonts w:ascii="Arial" w:hAnsi="Arial" w:cs="Arial"/>
                <w:sz w:val="20"/>
                <w:szCs w:val="20"/>
              </w:rPr>
            </w:pPr>
            <w:r>
              <w:rPr>
                <w:rFonts w:ascii="Arial" w:hAnsi="Arial" w:cs="Arial"/>
                <w:sz w:val="20"/>
                <w:szCs w:val="20"/>
              </w:rPr>
              <w:t>81</w:t>
            </w:r>
            <w:r w:rsidR="006753ED">
              <w:rPr>
                <w:rFonts w:ascii="Arial" w:hAnsi="Arial" w:cs="Arial"/>
                <w:sz w:val="20"/>
                <w:szCs w:val="20"/>
              </w:rPr>
              <w:t>.</w:t>
            </w:r>
            <w:r>
              <w:rPr>
                <w:rFonts w:ascii="Arial" w:hAnsi="Arial" w:cs="Arial"/>
                <w:sz w:val="20"/>
                <w:szCs w:val="20"/>
              </w:rPr>
              <w:t>2</w:t>
            </w:r>
            <w:r w:rsidR="006753ED">
              <w:rPr>
                <w:rFonts w:ascii="Arial" w:hAnsi="Arial" w:cs="Arial"/>
                <w:sz w:val="20"/>
                <w:szCs w:val="20"/>
              </w:rPr>
              <w:t>%</w:t>
            </w:r>
          </w:p>
        </w:tc>
      </w:tr>
    </w:tbl>
    <w:p w14:paraId="544E18B5" w14:textId="77777777" w:rsidR="00EB76B2" w:rsidRDefault="00EB76B2" w:rsidP="00EB76B2"/>
    <w:p w14:paraId="51C00E02" w14:textId="4C770997" w:rsidR="00DA4753" w:rsidRDefault="00093A20" w:rsidP="00DA4753">
      <w:r w:rsidRPr="00093A20">
        <w:t>Forecast en</w:t>
      </w:r>
      <w:r>
        <w:t>rollment is lower in the current forecast, but per-customer reference loads and load impacts have increased. This is likely due to a change in the composition of customers that we will discuss in the comparison of current ex post and ex ante load impacts below.</w:t>
      </w:r>
    </w:p>
    <w:p w14:paraId="4FE64EB3" w14:textId="77777777" w:rsidR="00DA4753" w:rsidRPr="00A11E7E" w:rsidRDefault="00DA4753" w:rsidP="00DA4753">
      <w:pPr>
        <w:pStyle w:val="Heading3"/>
      </w:pPr>
      <w:bookmarkStart w:id="226" w:name="_Toc383597959"/>
      <w:bookmarkStart w:id="227" w:name="_Toc415488983"/>
      <w:r w:rsidRPr="00A11E7E">
        <w:t>6.2.3 Previous ex ante versus current ex post</w:t>
      </w:r>
      <w:bookmarkEnd w:id="226"/>
      <w:bookmarkEnd w:id="227"/>
    </w:p>
    <w:p w14:paraId="5165F90D" w14:textId="4F813341" w:rsidR="00DA4753" w:rsidRDefault="00DA4753" w:rsidP="00DA4753">
      <w:r>
        <w:t>Table 6.</w:t>
      </w:r>
      <w:r w:rsidR="00372CA5">
        <w:t>8</w:t>
      </w:r>
      <w:r>
        <w:t xml:space="preserve"> provides a comparison of the ex ante forecast of 2014 load impacts prepared following PY2013 and the PY2014 load impacts estimated as part of this study. The ex ante forecast shown in the table represents the typical event day during a </w:t>
      </w:r>
      <w:r w:rsidR="00E97693">
        <w:t xml:space="preserve">utility-specific </w:t>
      </w:r>
      <w:r>
        <w:t xml:space="preserve">1-in-2 weather year. The ex post load impacts are </w:t>
      </w:r>
      <w:r w:rsidR="00E97693">
        <w:t>based on the February 6, 2014 event day</w:t>
      </w:r>
      <w:r>
        <w:t>.</w:t>
      </w:r>
    </w:p>
    <w:p w14:paraId="50104143" w14:textId="77777777" w:rsidR="00DA4753" w:rsidRDefault="00DA4753" w:rsidP="00DA4753"/>
    <w:p w14:paraId="1AA48381" w14:textId="048F944C" w:rsidR="00DA4753" w:rsidRDefault="006A1C45" w:rsidP="00DA4753">
      <w:r>
        <w:t xml:space="preserve">The ex ante forecast contains 10 fewer service accounts, but the total program reference load and load impacts are slightly higher than we estimated for the one PY2014 event day. Seasonal differences may have contributed to these differences, since the PY2014 event was called in February while the typical event day is assumed to occur in August. The ex ante load impact for the February peak day averaged 585 MW </w:t>
      </w:r>
      <w:r>
        <w:lastRenderedPageBreak/>
        <w:t>across the 4:00 to 9:00 p.m. resource adequacy window, which is slightly lower than we estimated for the ex post event.</w:t>
      </w:r>
      <w:r w:rsidR="00DA4753">
        <w:t xml:space="preserve"> </w:t>
      </w:r>
    </w:p>
    <w:p w14:paraId="3455AF60" w14:textId="77777777" w:rsidR="00DA4753" w:rsidRDefault="00DA4753" w:rsidP="00DA4753"/>
    <w:p w14:paraId="5635C29A" w14:textId="293115AD" w:rsidR="00DA4753" w:rsidRDefault="00DA4753" w:rsidP="00DA4753">
      <w:pPr>
        <w:pStyle w:val="TableCaption"/>
        <w:keepNext/>
        <w:keepLines/>
        <w:rPr>
          <w:i/>
        </w:rPr>
      </w:pPr>
      <w:bookmarkStart w:id="228" w:name="_Toc383598022"/>
      <w:bookmarkStart w:id="229" w:name="_Toc415489032"/>
      <w:r w:rsidRPr="00376F46">
        <w:t xml:space="preserve">Table </w:t>
      </w:r>
      <w:r>
        <w:t>6</w:t>
      </w:r>
      <w:r w:rsidRPr="00376F46">
        <w:t>.</w:t>
      </w:r>
      <w:r w:rsidR="00372CA5">
        <w:t>8</w:t>
      </w:r>
      <w:r w:rsidRPr="00376F46">
        <w:t xml:space="preserve"> Comparison of </w:t>
      </w:r>
      <w:r>
        <w:t xml:space="preserve">Previous Ex Ante and Current Ex Post </w:t>
      </w:r>
      <w:r w:rsidRPr="00376F46">
        <w:t>Impacts</w:t>
      </w:r>
      <w:r>
        <w:t>,</w:t>
      </w:r>
      <w:r w:rsidRPr="00376F46">
        <w:t xml:space="preserve"> </w:t>
      </w:r>
      <w:r>
        <w:rPr>
          <w:i/>
        </w:rPr>
        <w:t>SC</w:t>
      </w:r>
      <w:r w:rsidRPr="00376F46">
        <w:rPr>
          <w:i/>
        </w:rPr>
        <w:t>E</w:t>
      </w:r>
      <w:bookmarkEnd w:id="228"/>
      <w:bookmarkEnd w:id="2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994"/>
        <w:gridCol w:w="1771"/>
        <w:gridCol w:w="1772"/>
      </w:tblGrid>
      <w:tr w:rsidR="00DA4753" w14:paraId="6588CB13" w14:textId="77777777" w:rsidTr="00DA4753">
        <w:trPr>
          <w:jc w:val="center"/>
        </w:trPr>
        <w:tc>
          <w:tcPr>
            <w:tcW w:w="1548" w:type="dxa"/>
            <w:shd w:val="clear" w:color="auto" w:fill="D9E2F3"/>
            <w:vAlign w:val="center"/>
          </w:tcPr>
          <w:p w14:paraId="677767C8" w14:textId="77777777" w:rsidR="00DA4753" w:rsidRPr="009C75E1" w:rsidRDefault="00DA4753" w:rsidP="00DA4753">
            <w:pPr>
              <w:keepNext/>
              <w:keepLines/>
              <w:jc w:val="center"/>
              <w:rPr>
                <w:rFonts w:ascii="Arial" w:hAnsi="Arial" w:cs="Arial"/>
                <w:b/>
                <w:sz w:val="20"/>
                <w:szCs w:val="20"/>
              </w:rPr>
            </w:pPr>
            <w:r w:rsidRPr="009C75E1">
              <w:rPr>
                <w:rFonts w:ascii="Arial" w:hAnsi="Arial" w:cs="Arial"/>
                <w:b/>
                <w:sz w:val="20"/>
                <w:szCs w:val="20"/>
              </w:rPr>
              <w:t>Level</w:t>
            </w:r>
          </w:p>
        </w:tc>
        <w:tc>
          <w:tcPr>
            <w:tcW w:w="1994" w:type="dxa"/>
            <w:shd w:val="clear" w:color="auto" w:fill="D9E2F3"/>
            <w:vAlign w:val="center"/>
          </w:tcPr>
          <w:p w14:paraId="6AD55BB0" w14:textId="77777777" w:rsidR="00DA4753" w:rsidRPr="009C75E1" w:rsidRDefault="00DA4753" w:rsidP="00DA4753">
            <w:pPr>
              <w:keepNext/>
              <w:keepLines/>
              <w:jc w:val="center"/>
              <w:rPr>
                <w:rFonts w:ascii="Arial" w:hAnsi="Arial" w:cs="Arial"/>
                <w:b/>
                <w:sz w:val="20"/>
                <w:szCs w:val="20"/>
              </w:rPr>
            </w:pPr>
            <w:r w:rsidRPr="009C75E1">
              <w:rPr>
                <w:rFonts w:ascii="Arial" w:hAnsi="Arial" w:cs="Arial"/>
                <w:b/>
                <w:sz w:val="20"/>
                <w:szCs w:val="20"/>
              </w:rPr>
              <w:t>Outcome</w:t>
            </w:r>
          </w:p>
        </w:tc>
        <w:tc>
          <w:tcPr>
            <w:tcW w:w="1771" w:type="dxa"/>
            <w:shd w:val="clear" w:color="auto" w:fill="D9E2F3"/>
            <w:vAlign w:val="center"/>
          </w:tcPr>
          <w:p w14:paraId="162B6EB1" w14:textId="77777777" w:rsidR="00DA4753" w:rsidRPr="009C75E1" w:rsidRDefault="00DA4753" w:rsidP="00DA4753">
            <w:pPr>
              <w:keepNext/>
              <w:keepLines/>
              <w:jc w:val="center"/>
              <w:rPr>
                <w:rFonts w:ascii="Arial" w:hAnsi="Arial" w:cs="Arial"/>
                <w:b/>
                <w:sz w:val="20"/>
                <w:szCs w:val="20"/>
              </w:rPr>
            </w:pPr>
          </w:p>
          <w:p w14:paraId="1B424A9A" w14:textId="77777777" w:rsidR="00DA4753" w:rsidRPr="009C75E1" w:rsidRDefault="00DA4753" w:rsidP="00DA4753">
            <w:pPr>
              <w:keepNext/>
              <w:keepLines/>
              <w:jc w:val="center"/>
              <w:rPr>
                <w:rFonts w:ascii="Arial" w:hAnsi="Arial" w:cs="Arial"/>
                <w:b/>
                <w:sz w:val="20"/>
                <w:szCs w:val="20"/>
              </w:rPr>
            </w:pPr>
            <w:r>
              <w:rPr>
                <w:rFonts w:ascii="Arial" w:hAnsi="Arial" w:cs="Arial"/>
                <w:b/>
                <w:sz w:val="20"/>
                <w:szCs w:val="20"/>
              </w:rPr>
              <w:t>Ex Ante for TED in PY2014, following PY2013 Study</w:t>
            </w:r>
          </w:p>
          <w:p w14:paraId="5934C8AA" w14:textId="77777777" w:rsidR="00DA4753" w:rsidRPr="009C75E1" w:rsidRDefault="00DA4753" w:rsidP="00DA4753">
            <w:pPr>
              <w:keepNext/>
              <w:keepLines/>
              <w:jc w:val="center"/>
              <w:rPr>
                <w:rFonts w:ascii="Arial" w:hAnsi="Arial" w:cs="Arial"/>
                <w:b/>
                <w:sz w:val="20"/>
                <w:szCs w:val="20"/>
              </w:rPr>
            </w:pPr>
          </w:p>
        </w:tc>
        <w:tc>
          <w:tcPr>
            <w:tcW w:w="1772" w:type="dxa"/>
            <w:shd w:val="clear" w:color="auto" w:fill="D9E2F3"/>
            <w:vAlign w:val="center"/>
          </w:tcPr>
          <w:p w14:paraId="59030FFA" w14:textId="77777777" w:rsidR="00DA4753" w:rsidRPr="009C75E1" w:rsidRDefault="00DA4753" w:rsidP="00DA4753">
            <w:pPr>
              <w:keepNext/>
              <w:keepLines/>
              <w:jc w:val="center"/>
              <w:rPr>
                <w:rFonts w:ascii="Arial" w:hAnsi="Arial" w:cs="Arial"/>
                <w:b/>
                <w:sz w:val="20"/>
                <w:szCs w:val="20"/>
              </w:rPr>
            </w:pPr>
            <w:r>
              <w:rPr>
                <w:rFonts w:ascii="Arial" w:hAnsi="Arial" w:cs="Arial"/>
                <w:b/>
                <w:sz w:val="20"/>
                <w:szCs w:val="20"/>
              </w:rPr>
              <w:t>Ex Post Average Event Day, PY2014</w:t>
            </w:r>
          </w:p>
        </w:tc>
      </w:tr>
      <w:tr w:rsidR="00E97693" w14:paraId="3215F412" w14:textId="77777777" w:rsidTr="00DA4753">
        <w:trPr>
          <w:jc w:val="center"/>
        </w:trPr>
        <w:tc>
          <w:tcPr>
            <w:tcW w:w="1548" w:type="dxa"/>
            <w:vMerge w:val="restart"/>
            <w:shd w:val="clear" w:color="auto" w:fill="auto"/>
            <w:vAlign w:val="center"/>
          </w:tcPr>
          <w:p w14:paraId="4BE38F43" w14:textId="77777777" w:rsidR="00E97693" w:rsidRPr="009C75E1" w:rsidRDefault="00E97693" w:rsidP="00E97693">
            <w:pPr>
              <w:keepNext/>
              <w:keepLines/>
              <w:rPr>
                <w:rFonts w:ascii="Arial" w:hAnsi="Arial" w:cs="Arial"/>
                <w:b/>
                <w:sz w:val="20"/>
                <w:szCs w:val="20"/>
              </w:rPr>
            </w:pPr>
            <w:r w:rsidRPr="009C75E1">
              <w:rPr>
                <w:rFonts w:ascii="Arial" w:hAnsi="Arial" w:cs="Arial"/>
                <w:b/>
                <w:sz w:val="20"/>
                <w:szCs w:val="20"/>
              </w:rPr>
              <w:t>Total</w:t>
            </w:r>
          </w:p>
        </w:tc>
        <w:tc>
          <w:tcPr>
            <w:tcW w:w="1994" w:type="dxa"/>
            <w:shd w:val="clear" w:color="auto" w:fill="auto"/>
          </w:tcPr>
          <w:p w14:paraId="73FBE4BD"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 SAIDs</w:t>
            </w:r>
          </w:p>
        </w:tc>
        <w:tc>
          <w:tcPr>
            <w:tcW w:w="1771" w:type="dxa"/>
            <w:shd w:val="clear" w:color="auto" w:fill="auto"/>
          </w:tcPr>
          <w:p w14:paraId="218319FA" w14:textId="3FD8A24E" w:rsidR="00E97693" w:rsidRPr="009C75E1" w:rsidRDefault="00E97693" w:rsidP="00E97693">
            <w:pPr>
              <w:keepNext/>
              <w:keepLines/>
              <w:jc w:val="center"/>
              <w:rPr>
                <w:rFonts w:ascii="Arial" w:hAnsi="Arial" w:cs="Arial"/>
                <w:sz w:val="20"/>
                <w:szCs w:val="20"/>
              </w:rPr>
            </w:pPr>
            <w:r>
              <w:rPr>
                <w:rFonts w:ascii="Arial" w:hAnsi="Arial" w:cs="Arial"/>
                <w:sz w:val="20"/>
                <w:szCs w:val="20"/>
              </w:rPr>
              <w:t>610</w:t>
            </w:r>
          </w:p>
        </w:tc>
        <w:tc>
          <w:tcPr>
            <w:tcW w:w="1772" w:type="dxa"/>
            <w:shd w:val="clear" w:color="auto" w:fill="auto"/>
          </w:tcPr>
          <w:p w14:paraId="3D885447" w14:textId="11C8E58E" w:rsidR="00E97693" w:rsidRPr="009C75E1" w:rsidRDefault="00E97693" w:rsidP="00E97693">
            <w:pPr>
              <w:keepNext/>
              <w:keepLines/>
              <w:jc w:val="center"/>
              <w:rPr>
                <w:rFonts w:ascii="Arial" w:hAnsi="Arial" w:cs="Arial"/>
                <w:sz w:val="20"/>
                <w:szCs w:val="20"/>
              </w:rPr>
            </w:pPr>
            <w:r>
              <w:rPr>
                <w:rFonts w:ascii="Arial" w:hAnsi="Arial" w:cs="Arial"/>
                <w:sz w:val="20"/>
                <w:szCs w:val="20"/>
              </w:rPr>
              <w:t>620</w:t>
            </w:r>
          </w:p>
        </w:tc>
      </w:tr>
      <w:tr w:rsidR="00E97693" w14:paraId="72BD21EA" w14:textId="77777777" w:rsidTr="00DA4753">
        <w:trPr>
          <w:trHeight w:val="242"/>
          <w:jc w:val="center"/>
        </w:trPr>
        <w:tc>
          <w:tcPr>
            <w:tcW w:w="1548" w:type="dxa"/>
            <w:vMerge/>
            <w:shd w:val="clear" w:color="auto" w:fill="auto"/>
            <w:vAlign w:val="center"/>
          </w:tcPr>
          <w:p w14:paraId="0F412CEF" w14:textId="77777777" w:rsidR="00E97693" w:rsidRPr="009C75E1" w:rsidRDefault="00E97693" w:rsidP="00E97693">
            <w:pPr>
              <w:keepNext/>
              <w:keepLines/>
              <w:rPr>
                <w:rFonts w:ascii="Arial" w:hAnsi="Arial" w:cs="Arial"/>
                <w:sz w:val="20"/>
                <w:szCs w:val="20"/>
              </w:rPr>
            </w:pPr>
          </w:p>
        </w:tc>
        <w:tc>
          <w:tcPr>
            <w:tcW w:w="1994" w:type="dxa"/>
            <w:shd w:val="clear" w:color="auto" w:fill="auto"/>
          </w:tcPr>
          <w:p w14:paraId="526590DC"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Reference (MW)</w:t>
            </w:r>
          </w:p>
        </w:tc>
        <w:tc>
          <w:tcPr>
            <w:tcW w:w="1771" w:type="dxa"/>
            <w:shd w:val="clear" w:color="auto" w:fill="auto"/>
          </w:tcPr>
          <w:p w14:paraId="1D731F11" w14:textId="74D752B7" w:rsidR="00E97693" w:rsidRPr="009C75E1" w:rsidRDefault="00E97693" w:rsidP="00E97693">
            <w:pPr>
              <w:keepNext/>
              <w:keepLines/>
              <w:jc w:val="center"/>
              <w:rPr>
                <w:rFonts w:ascii="Arial" w:hAnsi="Arial" w:cs="Arial"/>
                <w:sz w:val="20"/>
                <w:szCs w:val="20"/>
              </w:rPr>
            </w:pPr>
            <w:r>
              <w:rPr>
                <w:rFonts w:ascii="Arial" w:hAnsi="Arial" w:cs="Arial"/>
                <w:sz w:val="20"/>
                <w:szCs w:val="20"/>
              </w:rPr>
              <w:t>780</w:t>
            </w:r>
          </w:p>
        </w:tc>
        <w:tc>
          <w:tcPr>
            <w:tcW w:w="1772" w:type="dxa"/>
            <w:shd w:val="clear" w:color="auto" w:fill="auto"/>
          </w:tcPr>
          <w:p w14:paraId="647B8C2A" w14:textId="631B3A25" w:rsidR="00E97693" w:rsidRPr="009C75E1" w:rsidRDefault="00E97693" w:rsidP="00E97693">
            <w:pPr>
              <w:keepNext/>
              <w:keepLines/>
              <w:jc w:val="center"/>
              <w:rPr>
                <w:rFonts w:ascii="Arial" w:hAnsi="Arial" w:cs="Arial"/>
                <w:sz w:val="20"/>
                <w:szCs w:val="20"/>
              </w:rPr>
            </w:pPr>
            <w:r>
              <w:rPr>
                <w:rFonts w:ascii="Arial" w:hAnsi="Arial" w:cs="Arial"/>
                <w:sz w:val="20"/>
                <w:szCs w:val="20"/>
              </w:rPr>
              <w:t>755</w:t>
            </w:r>
          </w:p>
        </w:tc>
      </w:tr>
      <w:tr w:rsidR="00E97693" w14:paraId="5A1E8DFC" w14:textId="77777777" w:rsidTr="00DA4753">
        <w:trPr>
          <w:jc w:val="center"/>
        </w:trPr>
        <w:tc>
          <w:tcPr>
            <w:tcW w:w="1548" w:type="dxa"/>
            <w:vMerge/>
            <w:shd w:val="clear" w:color="auto" w:fill="auto"/>
            <w:vAlign w:val="center"/>
          </w:tcPr>
          <w:p w14:paraId="5CCAF51C" w14:textId="77777777" w:rsidR="00E97693" w:rsidRPr="009C75E1" w:rsidRDefault="00E97693" w:rsidP="00E97693">
            <w:pPr>
              <w:keepNext/>
              <w:keepLines/>
              <w:rPr>
                <w:rFonts w:ascii="Arial" w:hAnsi="Arial" w:cs="Arial"/>
                <w:sz w:val="20"/>
                <w:szCs w:val="20"/>
              </w:rPr>
            </w:pPr>
          </w:p>
        </w:tc>
        <w:tc>
          <w:tcPr>
            <w:tcW w:w="1994" w:type="dxa"/>
            <w:shd w:val="clear" w:color="auto" w:fill="auto"/>
          </w:tcPr>
          <w:p w14:paraId="712A0A9C"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Load Impact (MW)</w:t>
            </w:r>
          </w:p>
        </w:tc>
        <w:tc>
          <w:tcPr>
            <w:tcW w:w="1771" w:type="dxa"/>
            <w:shd w:val="clear" w:color="auto" w:fill="auto"/>
          </w:tcPr>
          <w:p w14:paraId="74E601E6" w14:textId="038D2228" w:rsidR="00E97693" w:rsidRPr="009C75E1" w:rsidRDefault="00E97693" w:rsidP="00E97693">
            <w:pPr>
              <w:keepNext/>
              <w:keepLines/>
              <w:jc w:val="center"/>
              <w:rPr>
                <w:rFonts w:ascii="Arial" w:hAnsi="Arial" w:cs="Arial"/>
                <w:sz w:val="20"/>
                <w:szCs w:val="20"/>
              </w:rPr>
            </w:pPr>
            <w:r>
              <w:rPr>
                <w:rFonts w:ascii="Arial" w:hAnsi="Arial" w:cs="Arial"/>
                <w:sz w:val="20"/>
                <w:szCs w:val="20"/>
              </w:rPr>
              <w:t>650</w:t>
            </w:r>
          </w:p>
        </w:tc>
        <w:tc>
          <w:tcPr>
            <w:tcW w:w="1772" w:type="dxa"/>
            <w:shd w:val="clear" w:color="auto" w:fill="auto"/>
          </w:tcPr>
          <w:p w14:paraId="36E3BEE1" w14:textId="26929B2C" w:rsidR="00E97693" w:rsidRPr="009C75E1" w:rsidRDefault="00E97693" w:rsidP="00E97693">
            <w:pPr>
              <w:keepNext/>
              <w:keepLines/>
              <w:jc w:val="center"/>
              <w:rPr>
                <w:rFonts w:ascii="Arial" w:hAnsi="Arial" w:cs="Arial"/>
                <w:sz w:val="20"/>
                <w:szCs w:val="20"/>
              </w:rPr>
            </w:pPr>
            <w:r>
              <w:rPr>
                <w:rFonts w:ascii="Arial" w:hAnsi="Arial" w:cs="Arial"/>
                <w:sz w:val="20"/>
                <w:szCs w:val="20"/>
              </w:rPr>
              <w:t>624</w:t>
            </w:r>
          </w:p>
        </w:tc>
      </w:tr>
      <w:tr w:rsidR="00E97693" w14:paraId="2A7584FF" w14:textId="77777777" w:rsidTr="00DA4753">
        <w:trPr>
          <w:jc w:val="center"/>
        </w:trPr>
        <w:tc>
          <w:tcPr>
            <w:tcW w:w="1548" w:type="dxa"/>
            <w:vMerge w:val="restart"/>
            <w:shd w:val="clear" w:color="auto" w:fill="auto"/>
            <w:vAlign w:val="center"/>
          </w:tcPr>
          <w:p w14:paraId="6139EAFD" w14:textId="77777777" w:rsidR="00E97693" w:rsidRPr="009C75E1" w:rsidRDefault="00E97693" w:rsidP="00E97693">
            <w:pPr>
              <w:keepNext/>
              <w:keepLines/>
              <w:rPr>
                <w:rFonts w:ascii="Arial" w:hAnsi="Arial" w:cs="Arial"/>
                <w:b/>
                <w:sz w:val="20"/>
                <w:szCs w:val="20"/>
              </w:rPr>
            </w:pPr>
            <w:r w:rsidRPr="009C75E1">
              <w:rPr>
                <w:rFonts w:ascii="Arial" w:hAnsi="Arial" w:cs="Arial"/>
                <w:b/>
                <w:sz w:val="20"/>
                <w:szCs w:val="20"/>
              </w:rPr>
              <w:t>Per SAID</w:t>
            </w:r>
          </w:p>
        </w:tc>
        <w:tc>
          <w:tcPr>
            <w:tcW w:w="1994" w:type="dxa"/>
            <w:shd w:val="clear" w:color="auto" w:fill="auto"/>
          </w:tcPr>
          <w:p w14:paraId="05F8E213"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Reference (kW)</w:t>
            </w:r>
          </w:p>
        </w:tc>
        <w:tc>
          <w:tcPr>
            <w:tcW w:w="1771" w:type="dxa"/>
            <w:shd w:val="clear" w:color="auto" w:fill="auto"/>
          </w:tcPr>
          <w:p w14:paraId="3805B78A" w14:textId="7E5F5404" w:rsidR="00E97693" w:rsidRPr="009C75E1" w:rsidRDefault="00E97693" w:rsidP="00E97693">
            <w:pPr>
              <w:keepNext/>
              <w:keepLines/>
              <w:jc w:val="center"/>
              <w:rPr>
                <w:rFonts w:ascii="Arial" w:hAnsi="Arial" w:cs="Arial"/>
                <w:sz w:val="20"/>
                <w:szCs w:val="20"/>
              </w:rPr>
            </w:pPr>
            <w:r>
              <w:rPr>
                <w:rFonts w:ascii="Arial" w:hAnsi="Arial" w:cs="Arial"/>
                <w:sz w:val="20"/>
                <w:szCs w:val="20"/>
              </w:rPr>
              <w:t>1,278</w:t>
            </w:r>
          </w:p>
        </w:tc>
        <w:tc>
          <w:tcPr>
            <w:tcW w:w="1772" w:type="dxa"/>
            <w:shd w:val="clear" w:color="auto" w:fill="auto"/>
          </w:tcPr>
          <w:p w14:paraId="4E5EEB4B" w14:textId="6157B8E1" w:rsidR="00E97693" w:rsidRPr="009C75E1" w:rsidRDefault="00E97693" w:rsidP="00E97693">
            <w:pPr>
              <w:keepNext/>
              <w:keepLines/>
              <w:jc w:val="center"/>
              <w:rPr>
                <w:rFonts w:ascii="Arial" w:hAnsi="Arial" w:cs="Arial"/>
                <w:sz w:val="20"/>
                <w:szCs w:val="20"/>
              </w:rPr>
            </w:pPr>
            <w:r>
              <w:rPr>
                <w:rFonts w:ascii="Arial" w:hAnsi="Arial" w:cs="Arial"/>
                <w:sz w:val="20"/>
                <w:szCs w:val="20"/>
              </w:rPr>
              <w:t>1,218</w:t>
            </w:r>
          </w:p>
        </w:tc>
      </w:tr>
      <w:tr w:rsidR="00E97693" w14:paraId="0F4471C2" w14:textId="77777777" w:rsidTr="00DA4753">
        <w:trPr>
          <w:jc w:val="center"/>
        </w:trPr>
        <w:tc>
          <w:tcPr>
            <w:tcW w:w="1548" w:type="dxa"/>
            <w:vMerge/>
            <w:shd w:val="clear" w:color="auto" w:fill="auto"/>
          </w:tcPr>
          <w:p w14:paraId="797C01ED" w14:textId="77777777" w:rsidR="00E97693" w:rsidRPr="009C75E1" w:rsidRDefault="00E97693" w:rsidP="00E97693">
            <w:pPr>
              <w:keepNext/>
              <w:keepLines/>
              <w:rPr>
                <w:rFonts w:ascii="Arial" w:hAnsi="Arial" w:cs="Arial"/>
                <w:sz w:val="20"/>
                <w:szCs w:val="20"/>
              </w:rPr>
            </w:pPr>
          </w:p>
        </w:tc>
        <w:tc>
          <w:tcPr>
            <w:tcW w:w="1994" w:type="dxa"/>
            <w:shd w:val="clear" w:color="auto" w:fill="auto"/>
          </w:tcPr>
          <w:p w14:paraId="2562D264"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Load Impact (kW)</w:t>
            </w:r>
          </w:p>
        </w:tc>
        <w:tc>
          <w:tcPr>
            <w:tcW w:w="1771" w:type="dxa"/>
            <w:shd w:val="clear" w:color="auto" w:fill="auto"/>
          </w:tcPr>
          <w:p w14:paraId="5B2E1261" w14:textId="582429AA" w:rsidR="00E97693" w:rsidRPr="009C75E1" w:rsidRDefault="00E97693" w:rsidP="00E97693">
            <w:pPr>
              <w:keepNext/>
              <w:keepLines/>
              <w:jc w:val="center"/>
              <w:rPr>
                <w:rFonts w:ascii="Arial" w:hAnsi="Arial" w:cs="Arial"/>
                <w:sz w:val="20"/>
                <w:szCs w:val="20"/>
              </w:rPr>
            </w:pPr>
            <w:r>
              <w:rPr>
                <w:rFonts w:ascii="Arial" w:hAnsi="Arial" w:cs="Arial"/>
                <w:sz w:val="20"/>
                <w:szCs w:val="20"/>
              </w:rPr>
              <w:t>1,065</w:t>
            </w:r>
          </w:p>
        </w:tc>
        <w:tc>
          <w:tcPr>
            <w:tcW w:w="1772" w:type="dxa"/>
            <w:shd w:val="clear" w:color="auto" w:fill="auto"/>
          </w:tcPr>
          <w:p w14:paraId="1183FB18" w14:textId="7D5C7E08" w:rsidR="00E97693" w:rsidRPr="009C75E1" w:rsidRDefault="00E97693" w:rsidP="00E97693">
            <w:pPr>
              <w:keepNext/>
              <w:keepLines/>
              <w:jc w:val="center"/>
              <w:rPr>
                <w:rFonts w:ascii="Arial" w:hAnsi="Arial" w:cs="Arial"/>
                <w:sz w:val="20"/>
                <w:szCs w:val="20"/>
              </w:rPr>
            </w:pPr>
            <w:r>
              <w:rPr>
                <w:rFonts w:ascii="Arial" w:hAnsi="Arial" w:cs="Arial"/>
                <w:sz w:val="20"/>
                <w:szCs w:val="20"/>
              </w:rPr>
              <w:t>1,006</w:t>
            </w:r>
          </w:p>
        </w:tc>
      </w:tr>
      <w:tr w:rsidR="00E97693" w14:paraId="15E78BD4" w14:textId="77777777" w:rsidTr="00DA4753">
        <w:trPr>
          <w:jc w:val="center"/>
        </w:trPr>
        <w:tc>
          <w:tcPr>
            <w:tcW w:w="1548" w:type="dxa"/>
            <w:vMerge/>
            <w:shd w:val="clear" w:color="auto" w:fill="auto"/>
          </w:tcPr>
          <w:p w14:paraId="4FCCCF21" w14:textId="77777777" w:rsidR="00E97693" w:rsidRPr="009C75E1" w:rsidRDefault="00E97693" w:rsidP="00E97693">
            <w:pPr>
              <w:keepNext/>
              <w:keepLines/>
              <w:rPr>
                <w:rFonts w:ascii="Arial" w:hAnsi="Arial" w:cs="Arial"/>
                <w:sz w:val="20"/>
                <w:szCs w:val="20"/>
              </w:rPr>
            </w:pPr>
          </w:p>
        </w:tc>
        <w:tc>
          <w:tcPr>
            <w:tcW w:w="1994" w:type="dxa"/>
            <w:shd w:val="clear" w:color="auto" w:fill="auto"/>
          </w:tcPr>
          <w:p w14:paraId="7F3312E8" w14:textId="77777777" w:rsidR="00E97693" w:rsidRPr="009C75E1" w:rsidRDefault="00E97693" w:rsidP="00E97693">
            <w:pPr>
              <w:keepNext/>
              <w:keepLines/>
              <w:rPr>
                <w:rFonts w:ascii="Arial" w:hAnsi="Arial" w:cs="Arial"/>
                <w:sz w:val="20"/>
                <w:szCs w:val="20"/>
              </w:rPr>
            </w:pPr>
            <w:r w:rsidRPr="009C75E1">
              <w:rPr>
                <w:rFonts w:ascii="Arial" w:hAnsi="Arial" w:cs="Arial"/>
                <w:sz w:val="20"/>
                <w:szCs w:val="20"/>
              </w:rPr>
              <w:t>% Load Impact</w:t>
            </w:r>
          </w:p>
        </w:tc>
        <w:tc>
          <w:tcPr>
            <w:tcW w:w="1771" w:type="dxa"/>
            <w:shd w:val="clear" w:color="auto" w:fill="auto"/>
          </w:tcPr>
          <w:p w14:paraId="65693A07" w14:textId="677D9759" w:rsidR="00E97693" w:rsidRPr="009C75E1" w:rsidRDefault="00E97693" w:rsidP="00E97693">
            <w:pPr>
              <w:keepNext/>
              <w:keepLines/>
              <w:jc w:val="center"/>
              <w:rPr>
                <w:rFonts w:ascii="Arial" w:hAnsi="Arial" w:cs="Arial"/>
                <w:sz w:val="20"/>
                <w:szCs w:val="20"/>
              </w:rPr>
            </w:pPr>
            <w:r>
              <w:rPr>
                <w:rFonts w:ascii="Arial" w:hAnsi="Arial" w:cs="Arial"/>
                <w:sz w:val="20"/>
                <w:szCs w:val="20"/>
              </w:rPr>
              <w:t>83.3%</w:t>
            </w:r>
          </w:p>
        </w:tc>
        <w:tc>
          <w:tcPr>
            <w:tcW w:w="1772" w:type="dxa"/>
            <w:shd w:val="clear" w:color="auto" w:fill="auto"/>
          </w:tcPr>
          <w:p w14:paraId="10E4002D" w14:textId="605BE121" w:rsidR="00E97693" w:rsidRPr="009C75E1" w:rsidRDefault="00E97693" w:rsidP="00E97693">
            <w:pPr>
              <w:keepNext/>
              <w:keepLines/>
              <w:jc w:val="center"/>
              <w:rPr>
                <w:rFonts w:ascii="Arial" w:hAnsi="Arial" w:cs="Arial"/>
                <w:sz w:val="20"/>
                <w:szCs w:val="20"/>
              </w:rPr>
            </w:pPr>
            <w:r>
              <w:rPr>
                <w:rFonts w:ascii="Arial" w:hAnsi="Arial" w:cs="Arial"/>
                <w:sz w:val="20"/>
                <w:szCs w:val="20"/>
              </w:rPr>
              <w:t>82.6%</w:t>
            </w:r>
          </w:p>
        </w:tc>
      </w:tr>
    </w:tbl>
    <w:p w14:paraId="6EEBF072" w14:textId="77777777" w:rsidR="00DA4753" w:rsidRDefault="00DA4753" w:rsidP="00DA4753"/>
    <w:p w14:paraId="194AE264" w14:textId="77777777" w:rsidR="00DA4753" w:rsidRPr="00A11E7E" w:rsidRDefault="00DA4753" w:rsidP="00DA4753">
      <w:pPr>
        <w:pStyle w:val="Heading3"/>
      </w:pPr>
      <w:bookmarkStart w:id="230" w:name="_Toc383597960"/>
      <w:bookmarkStart w:id="231" w:name="_Toc415488984"/>
      <w:r w:rsidRPr="00A11E7E">
        <w:t>6.2.4 Current ex post versus current ex ante</w:t>
      </w:r>
      <w:bookmarkEnd w:id="230"/>
      <w:bookmarkEnd w:id="231"/>
    </w:p>
    <w:p w14:paraId="0C2C5BD7" w14:textId="40CC9A99" w:rsidR="00EE304D" w:rsidRDefault="00EE304D" w:rsidP="00DA4753">
      <w:r>
        <w:t>Table 6.</w:t>
      </w:r>
      <w:r w:rsidR="00372CA5">
        <w:t>9</w:t>
      </w:r>
      <w:r>
        <w:t xml:space="preserve"> compares the ex post and ex ante load impacts from this study, where the ex post impacts are based on the sole event day (February 6, 2014) and </w:t>
      </w:r>
      <w:r w:rsidR="00CC435E">
        <w:t>two version</w:t>
      </w:r>
      <w:r w:rsidR="00104D21">
        <w:t>s</w:t>
      </w:r>
      <w:r w:rsidR="00CC435E">
        <w:t xml:space="preserve"> of </w:t>
      </w:r>
      <w:r>
        <w:t xml:space="preserve">the ex ante load impacts are </w:t>
      </w:r>
      <w:r w:rsidR="00CC435E">
        <w:t xml:space="preserve">shown: the first is </w:t>
      </w:r>
      <w:r>
        <w:t>based on the 2015 typical event day in a utility-specific 1-in-2 weather year</w:t>
      </w:r>
      <w:r w:rsidR="00CC435E">
        <w:t>; and the second is based on the 2015 February peak day in a utility-specific 1-in-2 weather year</w:t>
      </w:r>
      <w:r>
        <w:t>.</w:t>
      </w:r>
      <w:r w:rsidR="00CC435E">
        <w:t xml:space="preserve"> The latter is included to provide a more direct comparison to the ex post event day.</w:t>
      </w:r>
    </w:p>
    <w:p w14:paraId="4BACA615" w14:textId="77777777" w:rsidR="00EE304D" w:rsidRDefault="00EE304D" w:rsidP="00DA4753"/>
    <w:p w14:paraId="021A8BF9" w14:textId="62D2C7FA" w:rsidR="00CC435E" w:rsidRDefault="00CC435E" w:rsidP="00DA4753">
      <w:r w:rsidRPr="00093A20">
        <w:t>As the table shows, the per-customer reference loads and load impacts for the ex post event day are quite comparable to those of the February peak day forecast. The lower forecast enrollments is the primary reason for the lower total reference load</w:t>
      </w:r>
      <w:r w:rsidR="0075595A">
        <w:t xml:space="preserve"> and</w:t>
      </w:r>
      <w:r w:rsidRPr="00093A20">
        <w:t xml:space="preserve"> load impact.</w:t>
      </w:r>
      <w:r w:rsidR="00B75E52">
        <w:t xml:space="preserve"> Enrollments are down 6.5 percent while load impacts are down 2.4 percent. The reason the load impacts (and reference loads) fall less than proportionately with enrollments is that smaller-than-average customers left BIP, while some average-sized customers joined the program (for a net reduction of 40 service accounts).</w:t>
      </w:r>
    </w:p>
    <w:p w14:paraId="24899885" w14:textId="77777777" w:rsidR="00EE304D" w:rsidRDefault="00EE304D" w:rsidP="00EE304D"/>
    <w:p w14:paraId="4DACFCDC" w14:textId="362DB37A" w:rsidR="00EE304D" w:rsidRPr="00376F46" w:rsidRDefault="00EE304D" w:rsidP="00EE304D">
      <w:pPr>
        <w:pStyle w:val="TableCaption"/>
        <w:keepNext/>
        <w:keepLines/>
      </w:pPr>
      <w:bookmarkStart w:id="232" w:name="_Toc415489033"/>
      <w:r w:rsidRPr="00376F46">
        <w:t xml:space="preserve">Table </w:t>
      </w:r>
      <w:r>
        <w:t>6</w:t>
      </w:r>
      <w:r w:rsidRPr="00376F46">
        <w:t>.</w:t>
      </w:r>
      <w:r w:rsidR="00372CA5">
        <w:t>9</w:t>
      </w:r>
      <w:r w:rsidRPr="00376F46">
        <w:t xml:space="preserve"> Comparison of </w:t>
      </w:r>
      <w:r>
        <w:t xml:space="preserve">Current Ex Post Ante and Current Ex Ante </w:t>
      </w:r>
      <w:r w:rsidRPr="00376F46">
        <w:t>Impacts</w:t>
      </w:r>
      <w:r>
        <w:t>,</w:t>
      </w:r>
      <w:r w:rsidRPr="00376F46">
        <w:t xml:space="preserve"> </w:t>
      </w:r>
      <w:r>
        <w:rPr>
          <w:i/>
        </w:rPr>
        <w:t>SCE</w:t>
      </w:r>
      <w:bookmarkEnd w:id="23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994"/>
        <w:gridCol w:w="1771"/>
        <w:gridCol w:w="1772"/>
        <w:gridCol w:w="1772"/>
      </w:tblGrid>
      <w:tr w:rsidR="003F4A9B" w14:paraId="25F9A650" w14:textId="1EE54DC9" w:rsidTr="003F4A9B">
        <w:trPr>
          <w:jc w:val="center"/>
        </w:trPr>
        <w:tc>
          <w:tcPr>
            <w:tcW w:w="1547" w:type="dxa"/>
            <w:shd w:val="clear" w:color="auto" w:fill="D9E2F3"/>
            <w:vAlign w:val="center"/>
          </w:tcPr>
          <w:p w14:paraId="006D55E6" w14:textId="77777777" w:rsidR="003F4A9B" w:rsidRPr="009C75E1" w:rsidRDefault="003F4A9B" w:rsidP="0015403B">
            <w:pPr>
              <w:keepNext/>
              <w:keepLines/>
              <w:jc w:val="center"/>
              <w:rPr>
                <w:rFonts w:ascii="Arial" w:hAnsi="Arial" w:cs="Arial"/>
                <w:b/>
                <w:sz w:val="20"/>
                <w:szCs w:val="20"/>
              </w:rPr>
            </w:pPr>
            <w:r w:rsidRPr="009C75E1">
              <w:rPr>
                <w:rFonts w:ascii="Arial" w:hAnsi="Arial" w:cs="Arial"/>
                <w:b/>
                <w:sz w:val="20"/>
                <w:szCs w:val="20"/>
              </w:rPr>
              <w:t>Level</w:t>
            </w:r>
          </w:p>
        </w:tc>
        <w:tc>
          <w:tcPr>
            <w:tcW w:w="1994" w:type="dxa"/>
            <w:shd w:val="clear" w:color="auto" w:fill="D9E2F3"/>
            <w:vAlign w:val="center"/>
          </w:tcPr>
          <w:p w14:paraId="7D850116" w14:textId="77777777" w:rsidR="003F4A9B" w:rsidRPr="009C75E1" w:rsidRDefault="003F4A9B" w:rsidP="0015403B">
            <w:pPr>
              <w:keepNext/>
              <w:keepLines/>
              <w:jc w:val="center"/>
              <w:rPr>
                <w:rFonts w:ascii="Arial" w:hAnsi="Arial" w:cs="Arial"/>
                <w:b/>
                <w:sz w:val="20"/>
                <w:szCs w:val="20"/>
              </w:rPr>
            </w:pPr>
            <w:r w:rsidRPr="009C75E1">
              <w:rPr>
                <w:rFonts w:ascii="Arial" w:hAnsi="Arial" w:cs="Arial"/>
                <w:b/>
                <w:sz w:val="20"/>
                <w:szCs w:val="20"/>
              </w:rPr>
              <w:t>Outcome</w:t>
            </w:r>
          </w:p>
        </w:tc>
        <w:tc>
          <w:tcPr>
            <w:tcW w:w="1771" w:type="dxa"/>
            <w:shd w:val="clear" w:color="auto" w:fill="D9E2F3"/>
            <w:vAlign w:val="center"/>
          </w:tcPr>
          <w:p w14:paraId="7287B375" w14:textId="77777777" w:rsidR="003F4A9B" w:rsidRPr="009C75E1" w:rsidRDefault="003F4A9B" w:rsidP="0015403B">
            <w:pPr>
              <w:keepNext/>
              <w:keepLines/>
              <w:jc w:val="center"/>
              <w:rPr>
                <w:rFonts w:ascii="Arial" w:hAnsi="Arial" w:cs="Arial"/>
                <w:b/>
                <w:sz w:val="20"/>
                <w:szCs w:val="20"/>
              </w:rPr>
            </w:pPr>
            <w:r>
              <w:rPr>
                <w:rFonts w:ascii="Arial" w:hAnsi="Arial" w:cs="Arial"/>
                <w:b/>
                <w:sz w:val="20"/>
                <w:szCs w:val="20"/>
              </w:rPr>
              <w:t>Ex Post Average Event Day, PY2014</w:t>
            </w:r>
          </w:p>
        </w:tc>
        <w:tc>
          <w:tcPr>
            <w:tcW w:w="1772" w:type="dxa"/>
            <w:shd w:val="clear" w:color="auto" w:fill="D9E2F3"/>
            <w:vAlign w:val="center"/>
          </w:tcPr>
          <w:p w14:paraId="5AFC8EA8" w14:textId="77777777" w:rsidR="003F4A9B" w:rsidRPr="009C75E1" w:rsidRDefault="003F4A9B" w:rsidP="0015403B">
            <w:pPr>
              <w:keepNext/>
              <w:keepLines/>
              <w:jc w:val="center"/>
              <w:rPr>
                <w:rFonts w:ascii="Arial" w:hAnsi="Arial" w:cs="Arial"/>
                <w:b/>
                <w:sz w:val="20"/>
                <w:szCs w:val="20"/>
              </w:rPr>
            </w:pPr>
            <w:r>
              <w:rPr>
                <w:rFonts w:ascii="Arial" w:hAnsi="Arial" w:cs="Arial"/>
                <w:b/>
                <w:sz w:val="20"/>
                <w:szCs w:val="20"/>
              </w:rPr>
              <w:t>Ex Ante Typical Event Day</w:t>
            </w:r>
          </w:p>
        </w:tc>
        <w:tc>
          <w:tcPr>
            <w:tcW w:w="1772" w:type="dxa"/>
            <w:shd w:val="clear" w:color="auto" w:fill="D9E2F3"/>
            <w:vAlign w:val="center"/>
          </w:tcPr>
          <w:p w14:paraId="5DE5E3D8" w14:textId="6F1EB4E0" w:rsidR="003F4A9B" w:rsidRDefault="003F4A9B" w:rsidP="003F4A9B">
            <w:pPr>
              <w:keepNext/>
              <w:keepLines/>
              <w:jc w:val="center"/>
              <w:rPr>
                <w:rFonts w:ascii="Arial" w:hAnsi="Arial" w:cs="Arial"/>
                <w:b/>
                <w:sz w:val="20"/>
                <w:szCs w:val="20"/>
              </w:rPr>
            </w:pPr>
            <w:r>
              <w:rPr>
                <w:rFonts w:ascii="Arial" w:hAnsi="Arial" w:cs="Arial"/>
                <w:b/>
                <w:sz w:val="20"/>
                <w:szCs w:val="20"/>
              </w:rPr>
              <w:t>Ex Ante February Peak Day</w:t>
            </w:r>
          </w:p>
        </w:tc>
      </w:tr>
      <w:tr w:rsidR="003F4A9B" w14:paraId="23D34BB5" w14:textId="5762CEC7" w:rsidTr="003F4A9B">
        <w:trPr>
          <w:jc w:val="center"/>
        </w:trPr>
        <w:tc>
          <w:tcPr>
            <w:tcW w:w="1547" w:type="dxa"/>
            <w:vMerge w:val="restart"/>
            <w:shd w:val="clear" w:color="auto" w:fill="auto"/>
            <w:vAlign w:val="center"/>
          </w:tcPr>
          <w:p w14:paraId="756E1863" w14:textId="77777777" w:rsidR="003F4A9B" w:rsidRPr="009C75E1" w:rsidRDefault="003F4A9B" w:rsidP="00EE304D">
            <w:pPr>
              <w:keepNext/>
              <w:keepLines/>
              <w:rPr>
                <w:rFonts w:ascii="Arial" w:hAnsi="Arial" w:cs="Arial"/>
                <w:b/>
                <w:sz w:val="20"/>
                <w:szCs w:val="20"/>
              </w:rPr>
            </w:pPr>
            <w:r w:rsidRPr="009C75E1">
              <w:rPr>
                <w:rFonts w:ascii="Arial" w:hAnsi="Arial" w:cs="Arial"/>
                <w:b/>
                <w:sz w:val="20"/>
                <w:szCs w:val="20"/>
              </w:rPr>
              <w:t>Total</w:t>
            </w:r>
          </w:p>
        </w:tc>
        <w:tc>
          <w:tcPr>
            <w:tcW w:w="1994" w:type="dxa"/>
            <w:shd w:val="clear" w:color="auto" w:fill="auto"/>
          </w:tcPr>
          <w:p w14:paraId="1BAA7931" w14:textId="77777777" w:rsidR="003F4A9B" w:rsidRPr="009C75E1" w:rsidRDefault="003F4A9B" w:rsidP="00EE304D">
            <w:pPr>
              <w:keepNext/>
              <w:keepLines/>
              <w:rPr>
                <w:rFonts w:ascii="Arial" w:hAnsi="Arial" w:cs="Arial"/>
                <w:sz w:val="20"/>
                <w:szCs w:val="20"/>
              </w:rPr>
            </w:pPr>
            <w:r w:rsidRPr="009C75E1">
              <w:rPr>
                <w:rFonts w:ascii="Arial" w:hAnsi="Arial" w:cs="Arial"/>
                <w:sz w:val="20"/>
                <w:szCs w:val="20"/>
              </w:rPr>
              <w:t># SAIDs</w:t>
            </w:r>
          </w:p>
        </w:tc>
        <w:tc>
          <w:tcPr>
            <w:tcW w:w="1771" w:type="dxa"/>
            <w:shd w:val="clear" w:color="auto" w:fill="auto"/>
            <w:vAlign w:val="center"/>
          </w:tcPr>
          <w:p w14:paraId="75F7FD93" w14:textId="12EE1AC5" w:rsidR="003F4A9B" w:rsidRPr="009C75E1" w:rsidRDefault="003F4A9B" w:rsidP="00EE304D">
            <w:pPr>
              <w:keepNext/>
              <w:keepLines/>
              <w:jc w:val="center"/>
              <w:rPr>
                <w:rFonts w:ascii="Arial" w:hAnsi="Arial" w:cs="Arial"/>
                <w:sz w:val="20"/>
                <w:szCs w:val="20"/>
              </w:rPr>
            </w:pPr>
            <w:r>
              <w:rPr>
                <w:rFonts w:ascii="Arial" w:hAnsi="Arial" w:cs="Arial"/>
                <w:sz w:val="20"/>
                <w:szCs w:val="20"/>
              </w:rPr>
              <w:t>620</w:t>
            </w:r>
          </w:p>
        </w:tc>
        <w:tc>
          <w:tcPr>
            <w:tcW w:w="1772" w:type="dxa"/>
            <w:shd w:val="clear" w:color="auto" w:fill="auto"/>
            <w:vAlign w:val="center"/>
          </w:tcPr>
          <w:p w14:paraId="45C7FA1F" w14:textId="6037553F" w:rsidR="003F4A9B" w:rsidRPr="009C75E1" w:rsidRDefault="003F4A9B" w:rsidP="00EE304D">
            <w:pPr>
              <w:keepNext/>
              <w:keepLines/>
              <w:jc w:val="center"/>
              <w:rPr>
                <w:rFonts w:ascii="Arial" w:hAnsi="Arial" w:cs="Arial"/>
                <w:sz w:val="20"/>
                <w:szCs w:val="20"/>
              </w:rPr>
            </w:pPr>
            <w:r>
              <w:rPr>
                <w:rFonts w:ascii="Arial" w:hAnsi="Arial" w:cs="Arial"/>
                <w:sz w:val="20"/>
                <w:szCs w:val="20"/>
              </w:rPr>
              <w:t>580</w:t>
            </w:r>
          </w:p>
        </w:tc>
        <w:tc>
          <w:tcPr>
            <w:tcW w:w="1772" w:type="dxa"/>
            <w:vAlign w:val="center"/>
          </w:tcPr>
          <w:p w14:paraId="04A3850F" w14:textId="080DFB33" w:rsidR="003F4A9B" w:rsidRDefault="003F4A9B" w:rsidP="003F4A9B">
            <w:pPr>
              <w:keepNext/>
              <w:keepLines/>
              <w:jc w:val="center"/>
              <w:rPr>
                <w:rFonts w:ascii="Arial" w:hAnsi="Arial" w:cs="Arial"/>
                <w:sz w:val="20"/>
                <w:szCs w:val="20"/>
              </w:rPr>
            </w:pPr>
            <w:r>
              <w:rPr>
                <w:rFonts w:ascii="Arial" w:hAnsi="Arial" w:cs="Arial"/>
                <w:sz w:val="20"/>
                <w:szCs w:val="20"/>
              </w:rPr>
              <w:t>580</w:t>
            </w:r>
          </w:p>
        </w:tc>
      </w:tr>
      <w:tr w:rsidR="003F4A9B" w14:paraId="02BF9A94" w14:textId="10343EFC" w:rsidTr="003F4A9B">
        <w:trPr>
          <w:trHeight w:val="242"/>
          <w:jc w:val="center"/>
        </w:trPr>
        <w:tc>
          <w:tcPr>
            <w:tcW w:w="1547" w:type="dxa"/>
            <w:vMerge/>
            <w:shd w:val="clear" w:color="auto" w:fill="auto"/>
            <w:vAlign w:val="center"/>
          </w:tcPr>
          <w:p w14:paraId="7C0C2D6D" w14:textId="77777777" w:rsidR="003F4A9B" w:rsidRPr="009C75E1" w:rsidRDefault="003F4A9B" w:rsidP="00EE304D">
            <w:pPr>
              <w:keepNext/>
              <w:keepLines/>
              <w:rPr>
                <w:rFonts w:ascii="Arial" w:hAnsi="Arial" w:cs="Arial"/>
                <w:sz w:val="20"/>
                <w:szCs w:val="20"/>
              </w:rPr>
            </w:pPr>
          </w:p>
        </w:tc>
        <w:tc>
          <w:tcPr>
            <w:tcW w:w="1994" w:type="dxa"/>
            <w:shd w:val="clear" w:color="auto" w:fill="auto"/>
          </w:tcPr>
          <w:p w14:paraId="7A37A428" w14:textId="77777777" w:rsidR="003F4A9B" w:rsidRPr="009C75E1" w:rsidRDefault="003F4A9B" w:rsidP="00EE304D">
            <w:pPr>
              <w:keepNext/>
              <w:keepLines/>
              <w:rPr>
                <w:rFonts w:ascii="Arial" w:hAnsi="Arial" w:cs="Arial"/>
                <w:sz w:val="20"/>
                <w:szCs w:val="20"/>
              </w:rPr>
            </w:pPr>
            <w:r w:rsidRPr="009C75E1">
              <w:rPr>
                <w:rFonts w:ascii="Arial" w:hAnsi="Arial" w:cs="Arial"/>
                <w:sz w:val="20"/>
                <w:szCs w:val="20"/>
              </w:rPr>
              <w:t>Reference (MW)</w:t>
            </w:r>
          </w:p>
        </w:tc>
        <w:tc>
          <w:tcPr>
            <w:tcW w:w="1771" w:type="dxa"/>
            <w:shd w:val="clear" w:color="auto" w:fill="auto"/>
            <w:vAlign w:val="center"/>
          </w:tcPr>
          <w:p w14:paraId="43A19295" w14:textId="5385C5B7" w:rsidR="003F4A9B" w:rsidRPr="009C75E1" w:rsidRDefault="003F4A9B" w:rsidP="00EE304D">
            <w:pPr>
              <w:keepNext/>
              <w:keepLines/>
              <w:jc w:val="center"/>
              <w:rPr>
                <w:rFonts w:ascii="Arial" w:hAnsi="Arial" w:cs="Arial"/>
                <w:sz w:val="20"/>
                <w:szCs w:val="20"/>
              </w:rPr>
            </w:pPr>
            <w:r>
              <w:rPr>
                <w:rFonts w:ascii="Arial" w:hAnsi="Arial" w:cs="Arial"/>
                <w:sz w:val="20"/>
                <w:szCs w:val="20"/>
              </w:rPr>
              <w:t>755</w:t>
            </w:r>
          </w:p>
        </w:tc>
        <w:tc>
          <w:tcPr>
            <w:tcW w:w="1772" w:type="dxa"/>
            <w:shd w:val="clear" w:color="auto" w:fill="auto"/>
            <w:vAlign w:val="center"/>
          </w:tcPr>
          <w:p w14:paraId="2881484E" w14:textId="30AFC494" w:rsidR="003F4A9B" w:rsidRPr="009C75E1" w:rsidRDefault="00104D21" w:rsidP="00EE304D">
            <w:pPr>
              <w:keepNext/>
              <w:keepLines/>
              <w:jc w:val="center"/>
              <w:rPr>
                <w:rFonts w:ascii="Arial" w:hAnsi="Arial" w:cs="Arial"/>
                <w:sz w:val="20"/>
                <w:szCs w:val="20"/>
              </w:rPr>
            </w:pPr>
            <w:r>
              <w:rPr>
                <w:rFonts w:ascii="Arial" w:hAnsi="Arial" w:cs="Arial"/>
                <w:sz w:val="20"/>
                <w:szCs w:val="20"/>
              </w:rPr>
              <w:t>824</w:t>
            </w:r>
          </w:p>
        </w:tc>
        <w:tc>
          <w:tcPr>
            <w:tcW w:w="1772" w:type="dxa"/>
            <w:vAlign w:val="center"/>
          </w:tcPr>
          <w:p w14:paraId="3F60F54E" w14:textId="1F061C60" w:rsidR="003F4A9B" w:rsidRDefault="00104D21" w:rsidP="003F4A9B">
            <w:pPr>
              <w:keepNext/>
              <w:keepLines/>
              <w:jc w:val="center"/>
              <w:rPr>
                <w:rFonts w:ascii="Arial" w:hAnsi="Arial" w:cs="Arial"/>
                <w:sz w:val="20"/>
                <w:szCs w:val="20"/>
              </w:rPr>
            </w:pPr>
            <w:r>
              <w:rPr>
                <w:rFonts w:ascii="Arial" w:hAnsi="Arial" w:cs="Arial"/>
                <w:sz w:val="20"/>
                <w:szCs w:val="20"/>
              </w:rPr>
              <w:t>740</w:t>
            </w:r>
          </w:p>
        </w:tc>
      </w:tr>
      <w:tr w:rsidR="003F4A9B" w14:paraId="52172C51" w14:textId="05AF8E2D" w:rsidTr="003F4A9B">
        <w:trPr>
          <w:jc w:val="center"/>
        </w:trPr>
        <w:tc>
          <w:tcPr>
            <w:tcW w:w="1547" w:type="dxa"/>
            <w:vMerge/>
            <w:shd w:val="clear" w:color="auto" w:fill="auto"/>
            <w:vAlign w:val="center"/>
          </w:tcPr>
          <w:p w14:paraId="0B99C2C3" w14:textId="77777777" w:rsidR="003F4A9B" w:rsidRPr="009C75E1" w:rsidRDefault="003F4A9B" w:rsidP="00EE304D">
            <w:pPr>
              <w:keepNext/>
              <w:keepLines/>
              <w:rPr>
                <w:rFonts w:ascii="Arial" w:hAnsi="Arial" w:cs="Arial"/>
                <w:sz w:val="20"/>
                <w:szCs w:val="20"/>
              </w:rPr>
            </w:pPr>
          </w:p>
        </w:tc>
        <w:tc>
          <w:tcPr>
            <w:tcW w:w="1994" w:type="dxa"/>
            <w:shd w:val="clear" w:color="auto" w:fill="auto"/>
          </w:tcPr>
          <w:p w14:paraId="24D15FA7" w14:textId="77777777" w:rsidR="003F4A9B" w:rsidRPr="009C75E1" w:rsidRDefault="003F4A9B" w:rsidP="00EE304D">
            <w:pPr>
              <w:keepNext/>
              <w:keepLines/>
              <w:rPr>
                <w:rFonts w:ascii="Arial" w:hAnsi="Arial" w:cs="Arial"/>
                <w:sz w:val="20"/>
                <w:szCs w:val="20"/>
              </w:rPr>
            </w:pPr>
            <w:r w:rsidRPr="009C75E1">
              <w:rPr>
                <w:rFonts w:ascii="Arial" w:hAnsi="Arial" w:cs="Arial"/>
                <w:sz w:val="20"/>
                <w:szCs w:val="20"/>
              </w:rPr>
              <w:t>Load Impact (MW)</w:t>
            </w:r>
          </w:p>
        </w:tc>
        <w:tc>
          <w:tcPr>
            <w:tcW w:w="1771" w:type="dxa"/>
            <w:shd w:val="clear" w:color="auto" w:fill="auto"/>
            <w:vAlign w:val="center"/>
          </w:tcPr>
          <w:p w14:paraId="0F4F459B" w14:textId="4DFEE8A1" w:rsidR="003F4A9B" w:rsidRPr="009C75E1" w:rsidRDefault="003F4A9B" w:rsidP="00EE304D">
            <w:pPr>
              <w:keepNext/>
              <w:keepLines/>
              <w:jc w:val="center"/>
              <w:rPr>
                <w:rFonts w:ascii="Arial" w:hAnsi="Arial" w:cs="Arial"/>
                <w:sz w:val="20"/>
                <w:szCs w:val="20"/>
              </w:rPr>
            </w:pPr>
            <w:r>
              <w:rPr>
                <w:rFonts w:ascii="Arial" w:hAnsi="Arial" w:cs="Arial"/>
                <w:sz w:val="20"/>
                <w:szCs w:val="20"/>
              </w:rPr>
              <w:t>624</w:t>
            </w:r>
          </w:p>
        </w:tc>
        <w:tc>
          <w:tcPr>
            <w:tcW w:w="1772" w:type="dxa"/>
            <w:shd w:val="clear" w:color="auto" w:fill="auto"/>
            <w:vAlign w:val="center"/>
          </w:tcPr>
          <w:p w14:paraId="6F2DFB86" w14:textId="61C51030" w:rsidR="003F4A9B" w:rsidRPr="009C75E1" w:rsidRDefault="00104D21" w:rsidP="00EE304D">
            <w:pPr>
              <w:keepNext/>
              <w:keepLines/>
              <w:jc w:val="center"/>
              <w:rPr>
                <w:rFonts w:ascii="Arial" w:hAnsi="Arial" w:cs="Arial"/>
                <w:sz w:val="20"/>
                <w:szCs w:val="20"/>
              </w:rPr>
            </w:pPr>
            <w:r>
              <w:rPr>
                <w:rFonts w:ascii="Arial" w:hAnsi="Arial" w:cs="Arial"/>
                <w:sz w:val="20"/>
                <w:szCs w:val="20"/>
              </w:rPr>
              <w:t>670</w:t>
            </w:r>
          </w:p>
        </w:tc>
        <w:tc>
          <w:tcPr>
            <w:tcW w:w="1772" w:type="dxa"/>
            <w:vAlign w:val="center"/>
          </w:tcPr>
          <w:p w14:paraId="3AEE09D9" w14:textId="228FB10E" w:rsidR="003F4A9B" w:rsidRDefault="00104D21" w:rsidP="003F4A9B">
            <w:pPr>
              <w:keepNext/>
              <w:keepLines/>
              <w:jc w:val="center"/>
              <w:rPr>
                <w:rFonts w:ascii="Arial" w:hAnsi="Arial" w:cs="Arial"/>
                <w:sz w:val="20"/>
                <w:szCs w:val="20"/>
              </w:rPr>
            </w:pPr>
            <w:r>
              <w:rPr>
                <w:rFonts w:ascii="Arial" w:hAnsi="Arial" w:cs="Arial"/>
                <w:sz w:val="20"/>
                <w:szCs w:val="20"/>
              </w:rPr>
              <w:t>609</w:t>
            </w:r>
          </w:p>
        </w:tc>
      </w:tr>
      <w:tr w:rsidR="003F4A9B" w14:paraId="10ABD637" w14:textId="58FC97D5" w:rsidTr="003F4A9B">
        <w:trPr>
          <w:jc w:val="center"/>
        </w:trPr>
        <w:tc>
          <w:tcPr>
            <w:tcW w:w="1547" w:type="dxa"/>
            <w:vMerge/>
            <w:shd w:val="clear" w:color="auto" w:fill="auto"/>
            <w:vAlign w:val="center"/>
          </w:tcPr>
          <w:p w14:paraId="5E0BFF8F" w14:textId="77777777" w:rsidR="003F4A9B" w:rsidRPr="009C75E1" w:rsidRDefault="003F4A9B" w:rsidP="00EE304D">
            <w:pPr>
              <w:keepNext/>
              <w:keepLines/>
              <w:rPr>
                <w:rFonts w:ascii="Arial" w:hAnsi="Arial" w:cs="Arial"/>
                <w:sz w:val="20"/>
                <w:szCs w:val="20"/>
              </w:rPr>
            </w:pPr>
          </w:p>
        </w:tc>
        <w:tc>
          <w:tcPr>
            <w:tcW w:w="1994" w:type="dxa"/>
            <w:shd w:val="clear" w:color="auto" w:fill="auto"/>
          </w:tcPr>
          <w:p w14:paraId="0D57EC84" w14:textId="77777777" w:rsidR="003F4A9B" w:rsidRPr="009C75E1" w:rsidRDefault="003F4A9B" w:rsidP="00EE304D">
            <w:pPr>
              <w:keepNext/>
              <w:keepLines/>
              <w:rPr>
                <w:rFonts w:ascii="Arial" w:hAnsi="Arial" w:cs="Arial"/>
                <w:sz w:val="20"/>
                <w:szCs w:val="20"/>
              </w:rPr>
            </w:pPr>
            <w:r>
              <w:rPr>
                <w:rFonts w:ascii="Arial" w:hAnsi="Arial" w:cs="Arial"/>
                <w:sz w:val="20"/>
                <w:szCs w:val="20"/>
              </w:rPr>
              <w:t>FSL (MW)</w:t>
            </w:r>
          </w:p>
        </w:tc>
        <w:tc>
          <w:tcPr>
            <w:tcW w:w="1771" w:type="dxa"/>
            <w:shd w:val="clear" w:color="auto" w:fill="auto"/>
            <w:vAlign w:val="center"/>
          </w:tcPr>
          <w:p w14:paraId="01193616" w14:textId="5FF2E8BC" w:rsidR="003F4A9B" w:rsidRDefault="003F4A9B" w:rsidP="00EE304D">
            <w:pPr>
              <w:keepNext/>
              <w:keepLines/>
              <w:jc w:val="center"/>
              <w:rPr>
                <w:rFonts w:ascii="Arial" w:hAnsi="Arial" w:cs="Arial"/>
                <w:sz w:val="20"/>
                <w:szCs w:val="20"/>
              </w:rPr>
            </w:pPr>
            <w:r>
              <w:rPr>
                <w:rFonts w:ascii="Arial" w:hAnsi="Arial" w:cs="Arial"/>
                <w:sz w:val="20"/>
                <w:szCs w:val="20"/>
              </w:rPr>
              <w:t>82.7</w:t>
            </w:r>
          </w:p>
        </w:tc>
        <w:tc>
          <w:tcPr>
            <w:tcW w:w="1772" w:type="dxa"/>
            <w:shd w:val="clear" w:color="auto" w:fill="auto"/>
            <w:vAlign w:val="center"/>
          </w:tcPr>
          <w:p w14:paraId="3F3C8AF6" w14:textId="59342D6B" w:rsidR="003F4A9B" w:rsidRDefault="00104D21" w:rsidP="00EE304D">
            <w:pPr>
              <w:keepNext/>
              <w:keepLines/>
              <w:jc w:val="center"/>
              <w:rPr>
                <w:rFonts w:ascii="Arial" w:hAnsi="Arial" w:cs="Arial"/>
                <w:sz w:val="20"/>
                <w:szCs w:val="20"/>
              </w:rPr>
            </w:pPr>
            <w:r>
              <w:rPr>
                <w:rFonts w:ascii="Arial" w:hAnsi="Arial" w:cs="Arial"/>
                <w:sz w:val="20"/>
                <w:szCs w:val="20"/>
              </w:rPr>
              <w:t>84.1</w:t>
            </w:r>
          </w:p>
        </w:tc>
        <w:tc>
          <w:tcPr>
            <w:tcW w:w="1772" w:type="dxa"/>
            <w:vAlign w:val="center"/>
          </w:tcPr>
          <w:p w14:paraId="6D59A396" w14:textId="6A0FD20F" w:rsidR="003F4A9B" w:rsidRDefault="00104D21" w:rsidP="003F4A9B">
            <w:pPr>
              <w:keepNext/>
              <w:keepLines/>
              <w:jc w:val="center"/>
              <w:rPr>
                <w:rFonts w:ascii="Arial" w:hAnsi="Arial" w:cs="Arial"/>
                <w:sz w:val="20"/>
                <w:szCs w:val="20"/>
              </w:rPr>
            </w:pPr>
            <w:r>
              <w:rPr>
                <w:rFonts w:ascii="Arial" w:hAnsi="Arial" w:cs="Arial"/>
                <w:sz w:val="20"/>
                <w:szCs w:val="20"/>
              </w:rPr>
              <w:t>84.1</w:t>
            </w:r>
          </w:p>
        </w:tc>
      </w:tr>
      <w:tr w:rsidR="003F4A9B" w14:paraId="3D233A45" w14:textId="22E5B033" w:rsidTr="003F4A9B">
        <w:trPr>
          <w:jc w:val="center"/>
        </w:trPr>
        <w:tc>
          <w:tcPr>
            <w:tcW w:w="1547" w:type="dxa"/>
            <w:vMerge w:val="restart"/>
            <w:shd w:val="clear" w:color="auto" w:fill="auto"/>
            <w:vAlign w:val="center"/>
          </w:tcPr>
          <w:p w14:paraId="2B45A890" w14:textId="77777777" w:rsidR="003F4A9B" w:rsidRPr="009C75E1" w:rsidRDefault="003F4A9B" w:rsidP="00EE304D">
            <w:pPr>
              <w:keepNext/>
              <w:keepLines/>
              <w:rPr>
                <w:rFonts w:ascii="Arial" w:hAnsi="Arial" w:cs="Arial"/>
                <w:b/>
                <w:sz w:val="20"/>
                <w:szCs w:val="20"/>
              </w:rPr>
            </w:pPr>
            <w:r w:rsidRPr="009C75E1">
              <w:rPr>
                <w:rFonts w:ascii="Arial" w:hAnsi="Arial" w:cs="Arial"/>
                <w:b/>
                <w:sz w:val="20"/>
                <w:szCs w:val="20"/>
              </w:rPr>
              <w:t>Per SAID</w:t>
            </w:r>
          </w:p>
        </w:tc>
        <w:tc>
          <w:tcPr>
            <w:tcW w:w="1994" w:type="dxa"/>
            <w:shd w:val="clear" w:color="auto" w:fill="auto"/>
          </w:tcPr>
          <w:p w14:paraId="2A607913" w14:textId="77777777" w:rsidR="003F4A9B" w:rsidRPr="009C75E1" w:rsidRDefault="003F4A9B" w:rsidP="00EE304D">
            <w:pPr>
              <w:keepNext/>
              <w:keepLines/>
              <w:rPr>
                <w:rFonts w:ascii="Arial" w:hAnsi="Arial" w:cs="Arial"/>
                <w:sz w:val="20"/>
                <w:szCs w:val="20"/>
              </w:rPr>
            </w:pPr>
            <w:r w:rsidRPr="009C75E1">
              <w:rPr>
                <w:rFonts w:ascii="Arial" w:hAnsi="Arial" w:cs="Arial"/>
                <w:sz w:val="20"/>
                <w:szCs w:val="20"/>
              </w:rPr>
              <w:t>Reference (kW)</w:t>
            </w:r>
          </w:p>
        </w:tc>
        <w:tc>
          <w:tcPr>
            <w:tcW w:w="1771" w:type="dxa"/>
            <w:shd w:val="clear" w:color="auto" w:fill="auto"/>
            <w:vAlign w:val="center"/>
          </w:tcPr>
          <w:p w14:paraId="5211A2CC" w14:textId="25848FE0" w:rsidR="003F4A9B" w:rsidRPr="009C75E1" w:rsidRDefault="003F4A9B" w:rsidP="00EE304D">
            <w:pPr>
              <w:keepNext/>
              <w:keepLines/>
              <w:jc w:val="center"/>
              <w:rPr>
                <w:rFonts w:ascii="Arial" w:hAnsi="Arial" w:cs="Arial"/>
                <w:sz w:val="20"/>
                <w:szCs w:val="20"/>
              </w:rPr>
            </w:pPr>
            <w:r>
              <w:rPr>
                <w:rFonts w:ascii="Arial" w:hAnsi="Arial" w:cs="Arial"/>
                <w:sz w:val="20"/>
                <w:szCs w:val="20"/>
              </w:rPr>
              <w:t>1,218</w:t>
            </w:r>
          </w:p>
        </w:tc>
        <w:tc>
          <w:tcPr>
            <w:tcW w:w="1772" w:type="dxa"/>
            <w:shd w:val="clear" w:color="auto" w:fill="auto"/>
            <w:vAlign w:val="center"/>
          </w:tcPr>
          <w:p w14:paraId="099F3E3C" w14:textId="65B1C73A" w:rsidR="003F4A9B" w:rsidRPr="009C75E1" w:rsidRDefault="00104D21" w:rsidP="00EE304D">
            <w:pPr>
              <w:keepNext/>
              <w:keepLines/>
              <w:jc w:val="center"/>
              <w:rPr>
                <w:rFonts w:ascii="Arial" w:hAnsi="Arial" w:cs="Arial"/>
                <w:sz w:val="20"/>
                <w:szCs w:val="20"/>
              </w:rPr>
            </w:pPr>
            <w:r>
              <w:rPr>
                <w:rFonts w:ascii="Arial" w:hAnsi="Arial" w:cs="Arial"/>
                <w:sz w:val="20"/>
                <w:szCs w:val="20"/>
              </w:rPr>
              <w:t>1,420</w:t>
            </w:r>
          </w:p>
        </w:tc>
        <w:tc>
          <w:tcPr>
            <w:tcW w:w="1772" w:type="dxa"/>
            <w:vAlign w:val="center"/>
          </w:tcPr>
          <w:p w14:paraId="60A54DFF" w14:textId="5312B946" w:rsidR="003F4A9B" w:rsidRDefault="00104D21" w:rsidP="003F4A9B">
            <w:pPr>
              <w:keepNext/>
              <w:keepLines/>
              <w:jc w:val="center"/>
              <w:rPr>
                <w:rFonts w:ascii="Arial" w:hAnsi="Arial" w:cs="Arial"/>
                <w:sz w:val="20"/>
                <w:szCs w:val="20"/>
              </w:rPr>
            </w:pPr>
            <w:r>
              <w:rPr>
                <w:rFonts w:ascii="Arial" w:hAnsi="Arial" w:cs="Arial"/>
                <w:sz w:val="20"/>
                <w:szCs w:val="20"/>
              </w:rPr>
              <w:t>1,275</w:t>
            </w:r>
          </w:p>
        </w:tc>
      </w:tr>
      <w:tr w:rsidR="003F4A9B" w14:paraId="7B1BFD10" w14:textId="40AE15B0" w:rsidTr="003F4A9B">
        <w:trPr>
          <w:jc w:val="center"/>
        </w:trPr>
        <w:tc>
          <w:tcPr>
            <w:tcW w:w="1547" w:type="dxa"/>
            <w:vMerge/>
            <w:shd w:val="clear" w:color="auto" w:fill="auto"/>
          </w:tcPr>
          <w:p w14:paraId="0B7F44EF" w14:textId="77777777" w:rsidR="003F4A9B" w:rsidRPr="009C75E1" w:rsidRDefault="003F4A9B" w:rsidP="00EE304D">
            <w:pPr>
              <w:keepNext/>
              <w:keepLines/>
              <w:rPr>
                <w:rFonts w:ascii="Arial" w:hAnsi="Arial" w:cs="Arial"/>
                <w:sz w:val="20"/>
                <w:szCs w:val="20"/>
              </w:rPr>
            </w:pPr>
          </w:p>
        </w:tc>
        <w:tc>
          <w:tcPr>
            <w:tcW w:w="1994" w:type="dxa"/>
            <w:shd w:val="clear" w:color="auto" w:fill="auto"/>
          </w:tcPr>
          <w:p w14:paraId="2C842C76" w14:textId="77777777" w:rsidR="003F4A9B" w:rsidRPr="009C75E1" w:rsidRDefault="003F4A9B" w:rsidP="00EE304D">
            <w:pPr>
              <w:keepNext/>
              <w:keepLines/>
              <w:rPr>
                <w:rFonts w:ascii="Arial" w:hAnsi="Arial" w:cs="Arial"/>
                <w:sz w:val="20"/>
                <w:szCs w:val="20"/>
              </w:rPr>
            </w:pPr>
            <w:r w:rsidRPr="009C75E1">
              <w:rPr>
                <w:rFonts w:ascii="Arial" w:hAnsi="Arial" w:cs="Arial"/>
                <w:sz w:val="20"/>
                <w:szCs w:val="20"/>
              </w:rPr>
              <w:t>Load Impact (kW)</w:t>
            </w:r>
          </w:p>
        </w:tc>
        <w:tc>
          <w:tcPr>
            <w:tcW w:w="1771" w:type="dxa"/>
            <w:shd w:val="clear" w:color="auto" w:fill="auto"/>
            <w:vAlign w:val="center"/>
          </w:tcPr>
          <w:p w14:paraId="65AA8813" w14:textId="5D9E8DA6" w:rsidR="003F4A9B" w:rsidRPr="009C75E1" w:rsidRDefault="003F4A9B" w:rsidP="00EE304D">
            <w:pPr>
              <w:keepNext/>
              <w:keepLines/>
              <w:jc w:val="center"/>
              <w:rPr>
                <w:rFonts w:ascii="Arial" w:hAnsi="Arial" w:cs="Arial"/>
                <w:sz w:val="20"/>
                <w:szCs w:val="20"/>
              </w:rPr>
            </w:pPr>
            <w:r>
              <w:rPr>
                <w:rFonts w:ascii="Arial" w:hAnsi="Arial" w:cs="Arial"/>
                <w:sz w:val="20"/>
                <w:szCs w:val="20"/>
              </w:rPr>
              <w:t>1,006</w:t>
            </w:r>
          </w:p>
        </w:tc>
        <w:tc>
          <w:tcPr>
            <w:tcW w:w="1772" w:type="dxa"/>
            <w:shd w:val="clear" w:color="auto" w:fill="auto"/>
            <w:vAlign w:val="center"/>
          </w:tcPr>
          <w:p w14:paraId="5A333F9B" w14:textId="3F8B7E0D" w:rsidR="003F4A9B" w:rsidRPr="009C75E1" w:rsidRDefault="00104D21" w:rsidP="00EE304D">
            <w:pPr>
              <w:keepNext/>
              <w:keepLines/>
              <w:jc w:val="center"/>
              <w:rPr>
                <w:rFonts w:ascii="Arial" w:hAnsi="Arial" w:cs="Arial"/>
                <w:sz w:val="20"/>
                <w:szCs w:val="20"/>
              </w:rPr>
            </w:pPr>
            <w:r>
              <w:rPr>
                <w:rFonts w:ascii="Arial" w:hAnsi="Arial" w:cs="Arial"/>
                <w:sz w:val="20"/>
                <w:szCs w:val="20"/>
              </w:rPr>
              <w:t>1,155</w:t>
            </w:r>
          </w:p>
        </w:tc>
        <w:tc>
          <w:tcPr>
            <w:tcW w:w="1772" w:type="dxa"/>
            <w:vAlign w:val="center"/>
          </w:tcPr>
          <w:p w14:paraId="7182E9E9" w14:textId="7DE377CD" w:rsidR="003F4A9B" w:rsidRDefault="00104D21" w:rsidP="003F4A9B">
            <w:pPr>
              <w:keepNext/>
              <w:keepLines/>
              <w:jc w:val="center"/>
              <w:rPr>
                <w:rFonts w:ascii="Arial" w:hAnsi="Arial" w:cs="Arial"/>
                <w:sz w:val="20"/>
                <w:szCs w:val="20"/>
              </w:rPr>
            </w:pPr>
            <w:r>
              <w:rPr>
                <w:rFonts w:ascii="Arial" w:hAnsi="Arial" w:cs="Arial"/>
                <w:sz w:val="20"/>
                <w:szCs w:val="20"/>
              </w:rPr>
              <w:t>1,050</w:t>
            </w:r>
          </w:p>
        </w:tc>
      </w:tr>
      <w:tr w:rsidR="003F4A9B" w14:paraId="4AB50AE3" w14:textId="46547BD7" w:rsidTr="003F4A9B">
        <w:trPr>
          <w:jc w:val="center"/>
        </w:trPr>
        <w:tc>
          <w:tcPr>
            <w:tcW w:w="1547" w:type="dxa"/>
            <w:vMerge/>
            <w:shd w:val="clear" w:color="auto" w:fill="auto"/>
          </w:tcPr>
          <w:p w14:paraId="7BC85442" w14:textId="77777777" w:rsidR="003F4A9B" w:rsidRPr="009C75E1" w:rsidRDefault="003F4A9B" w:rsidP="00EE304D">
            <w:pPr>
              <w:keepNext/>
              <w:keepLines/>
              <w:rPr>
                <w:rFonts w:ascii="Arial" w:hAnsi="Arial" w:cs="Arial"/>
                <w:sz w:val="20"/>
                <w:szCs w:val="20"/>
              </w:rPr>
            </w:pPr>
          </w:p>
        </w:tc>
        <w:tc>
          <w:tcPr>
            <w:tcW w:w="1994" w:type="dxa"/>
            <w:shd w:val="clear" w:color="auto" w:fill="auto"/>
          </w:tcPr>
          <w:p w14:paraId="4F555525" w14:textId="77777777" w:rsidR="003F4A9B" w:rsidRPr="009C75E1" w:rsidRDefault="003F4A9B" w:rsidP="00EE304D">
            <w:pPr>
              <w:keepNext/>
              <w:keepLines/>
              <w:rPr>
                <w:rFonts w:ascii="Arial" w:hAnsi="Arial" w:cs="Arial"/>
                <w:sz w:val="20"/>
                <w:szCs w:val="20"/>
              </w:rPr>
            </w:pPr>
            <w:r w:rsidRPr="009C75E1">
              <w:rPr>
                <w:rFonts w:ascii="Arial" w:hAnsi="Arial" w:cs="Arial"/>
                <w:sz w:val="20"/>
                <w:szCs w:val="20"/>
              </w:rPr>
              <w:t>% Load Impact</w:t>
            </w:r>
          </w:p>
        </w:tc>
        <w:tc>
          <w:tcPr>
            <w:tcW w:w="1771" w:type="dxa"/>
            <w:shd w:val="clear" w:color="auto" w:fill="auto"/>
            <w:vAlign w:val="center"/>
          </w:tcPr>
          <w:p w14:paraId="17B05F4F" w14:textId="26AD0667" w:rsidR="003F4A9B" w:rsidRPr="009C75E1" w:rsidRDefault="003F4A9B" w:rsidP="00EE304D">
            <w:pPr>
              <w:keepNext/>
              <w:keepLines/>
              <w:jc w:val="center"/>
              <w:rPr>
                <w:rFonts w:ascii="Arial" w:hAnsi="Arial" w:cs="Arial"/>
                <w:sz w:val="20"/>
                <w:szCs w:val="20"/>
              </w:rPr>
            </w:pPr>
            <w:r>
              <w:rPr>
                <w:rFonts w:ascii="Arial" w:hAnsi="Arial" w:cs="Arial"/>
                <w:sz w:val="20"/>
                <w:szCs w:val="20"/>
              </w:rPr>
              <w:t>82.6%</w:t>
            </w:r>
          </w:p>
        </w:tc>
        <w:tc>
          <w:tcPr>
            <w:tcW w:w="1772" w:type="dxa"/>
            <w:shd w:val="clear" w:color="auto" w:fill="auto"/>
            <w:vAlign w:val="center"/>
          </w:tcPr>
          <w:p w14:paraId="64451EA2" w14:textId="695D7D2D" w:rsidR="003F4A9B" w:rsidRPr="009C75E1" w:rsidRDefault="00104D21" w:rsidP="00104D21">
            <w:pPr>
              <w:keepNext/>
              <w:keepLines/>
              <w:jc w:val="center"/>
              <w:rPr>
                <w:rFonts w:ascii="Arial" w:hAnsi="Arial" w:cs="Arial"/>
                <w:sz w:val="20"/>
                <w:szCs w:val="20"/>
              </w:rPr>
            </w:pPr>
            <w:r>
              <w:rPr>
                <w:rFonts w:ascii="Arial" w:hAnsi="Arial" w:cs="Arial"/>
                <w:sz w:val="20"/>
                <w:szCs w:val="20"/>
              </w:rPr>
              <w:t>81</w:t>
            </w:r>
            <w:r w:rsidR="003F4A9B">
              <w:rPr>
                <w:rFonts w:ascii="Arial" w:hAnsi="Arial" w:cs="Arial"/>
                <w:sz w:val="20"/>
                <w:szCs w:val="20"/>
              </w:rPr>
              <w:t>.</w:t>
            </w:r>
            <w:r>
              <w:rPr>
                <w:rFonts w:ascii="Arial" w:hAnsi="Arial" w:cs="Arial"/>
                <w:sz w:val="20"/>
                <w:szCs w:val="20"/>
              </w:rPr>
              <w:t>3</w:t>
            </w:r>
            <w:r w:rsidR="003F4A9B">
              <w:rPr>
                <w:rFonts w:ascii="Arial" w:hAnsi="Arial" w:cs="Arial"/>
                <w:sz w:val="20"/>
                <w:szCs w:val="20"/>
              </w:rPr>
              <w:t>%</w:t>
            </w:r>
          </w:p>
        </w:tc>
        <w:tc>
          <w:tcPr>
            <w:tcW w:w="1772" w:type="dxa"/>
            <w:vAlign w:val="center"/>
          </w:tcPr>
          <w:p w14:paraId="321FCC09" w14:textId="0836354E" w:rsidR="003F4A9B" w:rsidRDefault="003F4A9B" w:rsidP="003F4A9B">
            <w:pPr>
              <w:keepNext/>
              <w:keepLines/>
              <w:jc w:val="center"/>
              <w:rPr>
                <w:rFonts w:ascii="Arial" w:hAnsi="Arial" w:cs="Arial"/>
                <w:sz w:val="20"/>
                <w:szCs w:val="20"/>
              </w:rPr>
            </w:pPr>
            <w:r>
              <w:rPr>
                <w:rFonts w:ascii="Arial" w:hAnsi="Arial" w:cs="Arial"/>
                <w:sz w:val="20"/>
                <w:szCs w:val="20"/>
              </w:rPr>
              <w:t>8</w:t>
            </w:r>
            <w:r w:rsidR="00104D21">
              <w:rPr>
                <w:rFonts w:ascii="Arial" w:hAnsi="Arial" w:cs="Arial"/>
                <w:sz w:val="20"/>
                <w:szCs w:val="20"/>
              </w:rPr>
              <w:t>2.4</w:t>
            </w:r>
            <w:r>
              <w:rPr>
                <w:rFonts w:ascii="Arial" w:hAnsi="Arial" w:cs="Arial"/>
                <w:sz w:val="20"/>
                <w:szCs w:val="20"/>
              </w:rPr>
              <w:t>%</w:t>
            </w:r>
          </w:p>
        </w:tc>
      </w:tr>
    </w:tbl>
    <w:p w14:paraId="1E6F7EBC" w14:textId="77777777" w:rsidR="00EE304D" w:rsidRDefault="00EE304D" w:rsidP="00EE304D"/>
    <w:p w14:paraId="5A29AFDC" w14:textId="680C8059" w:rsidR="00DA4753" w:rsidRDefault="00DA4753" w:rsidP="00CC435E">
      <w:r>
        <w:lastRenderedPageBreak/>
        <w:t>Table 6.</w:t>
      </w:r>
      <w:r w:rsidR="00372CA5">
        <w:t>10</w:t>
      </w:r>
      <w:r>
        <w:t xml:space="preserve"> describes the sources of differences between the ex post and ex ante load impacts, using the </w:t>
      </w:r>
      <w:r w:rsidR="001678F9">
        <w:t>August</w:t>
      </w:r>
      <w:r w:rsidR="00FE7791">
        <w:t xml:space="preserve"> </w:t>
      </w:r>
      <w:r>
        <w:t>201</w:t>
      </w:r>
      <w:r w:rsidR="00FE7791">
        <w:t>5</w:t>
      </w:r>
      <w:r>
        <w:t xml:space="preserve"> 1-in-2 scenario a</w:t>
      </w:r>
      <w:r w:rsidR="00FE7791">
        <w:t>s the benchmark for comparison.</w:t>
      </w:r>
      <w:r w:rsidR="00784245">
        <w:t xml:space="preserve"> </w:t>
      </w:r>
    </w:p>
    <w:p w14:paraId="0C4C6404" w14:textId="77777777" w:rsidR="00DA4753" w:rsidRDefault="00DA4753" w:rsidP="00DA4753"/>
    <w:p w14:paraId="69A59FCD" w14:textId="489079E6" w:rsidR="00DA4753" w:rsidRPr="00A11E7E" w:rsidRDefault="00DA4753" w:rsidP="00DA4753">
      <w:pPr>
        <w:pStyle w:val="TableCaption"/>
        <w:keepNext/>
        <w:keepLines/>
      </w:pPr>
      <w:bookmarkStart w:id="233" w:name="_Toc383598024"/>
      <w:bookmarkStart w:id="234" w:name="_Toc415489034"/>
      <w:r w:rsidRPr="00A11E7E">
        <w:t>Table 6.</w:t>
      </w:r>
      <w:r w:rsidR="00372CA5" w:rsidRPr="00A11E7E">
        <w:t>10</w:t>
      </w:r>
      <w:r w:rsidRPr="00A11E7E">
        <w:t>: SCE Ex Post versus Ex Ante Factors</w:t>
      </w:r>
      <w:bookmarkEnd w:id="233"/>
      <w:bookmarkEnd w:id="234"/>
    </w:p>
    <w:tbl>
      <w:tblPr>
        <w:tblW w:w="9452" w:type="dxa"/>
        <w:jc w:val="center"/>
        <w:tblLook w:val="04A0" w:firstRow="1" w:lastRow="0" w:firstColumn="1" w:lastColumn="0" w:noHBand="0" w:noVBand="1"/>
      </w:tblPr>
      <w:tblGrid>
        <w:gridCol w:w="1518"/>
        <w:gridCol w:w="3028"/>
        <w:gridCol w:w="2340"/>
        <w:gridCol w:w="2566"/>
      </w:tblGrid>
      <w:tr w:rsidR="00DA4753" w:rsidRPr="008E5D4C" w14:paraId="5FA6CDBE" w14:textId="77777777" w:rsidTr="00DA4753">
        <w:trPr>
          <w:trHeight w:val="510"/>
          <w:jc w:val="center"/>
        </w:trPr>
        <w:tc>
          <w:tcPr>
            <w:tcW w:w="151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11F07E13" w14:textId="77777777" w:rsidR="00DA4753" w:rsidRPr="008E5D4C" w:rsidRDefault="00DA4753" w:rsidP="00DA4753">
            <w:pPr>
              <w:pStyle w:val="TableHeader"/>
              <w:keepNext/>
              <w:keepLines/>
              <w:rPr>
                <w:color w:val="auto"/>
                <w:szCs w:val="20"/>
              </w:rPr>
            </w:pPr>
            <w:r w:rsidRPr="008E5D4C">
              <w:rPr>
                <w:color w:val="auto"/>
                <w:szCs w:val="20"/>
              </w:rPr>
              <w:t>Factor</w:t>
            </w:r>
          </w:p>
        </w:tc>
        <w:tc>
          <w:tcPr>
            <w:tcW w:w="302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2216961" w14:textId="77777777" w:rsidR="00DA4753" w:rsidRPr="008E5D4C" w:rsidRDefault="00DA4753" w:rsidP="00DA4753">
            <w:pPr>
              <w:pStyle w:val="TableHeader"/>
              <w:keepNext/>
              <w:keepLines/>
              <w:rPr>
                <w:color w:val="auto"/>
                <w:szCs w:val="20"/>
              </w:rPr>
            </w:pPr>
            <w:r w:rsidRPr="008E5D4C">
              <w:rPr>
                <w:color w:val="auto"/>
                <w:szCs w:val="20"/>
              </w:rPr>
              <w:t>Ex Post</w:t>
            </w:r>
          </w:p>
        </w:tc>
        <w:tc>
          <w:tcPr>
            <w:tcW w:w="234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6D49D34" w14:textId="77777777" w:rsidR="00DA4753" w:rsidRPr="008E5D4C" w:rsidRDefault="00DA4753" w:rsidP="00DA4753">
            <w:pPr>
              <w:pStyle w:val="TableHeader"/>
              <w:keepNext/>
              <w:keepLines/>
              <w:rPr>
                <w:color w:val="auto"/>
                <w:szCs w:val="20"/>
              </w:rPr>
            </w:pPr>
            <w:r w:rsidRPr="008E5D4C">
              <w:rPr>
                <w:color w:val="auto"/>
                <w:szCs w:val="20"/>
              </w:rPr>
              <w:t>Ex Ante</w:t>
            </w:r>
          </w:p>
        </w:tc>
        <w:tc>
          <w:tcPr>
            <w:tcW w:w="2566"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059FD479" w14:textId="77777777" w:rsidR="00DA4753" w:rsidRPr="008E5D4C" w:rsidRDefault="00DA4753" w:rsidP="00DA4753">
            <w:pPr>
              <w:pStyle w:val="TableHeader"/>
              <w:keepNext/>
              <w:keepLines/>
              <w:rPr>
                <w:color w:val="auto"/>
                <w:szCs w:val="20"/>
              </w:rPr>
            </w:pPr>
            <w:r w:rsidRPr="008E5D4C">
              <w:rPr>
                <w:color w:val="auto"/>
                <w:szCs w:val="20"/>
              </w:rPr>
              <w:t>Expected Impact</w:t>
            </w:r>
          </w:p>
        </w:tc>
      </w:tr>
      <w:tr w:rsidR="00DA4753" w:rsidRPr="007F356D" w14:paraId="4CA1FF70" w14:textId="77777777" w:rsidTr="00DA4753">
        <w:trPr>
          <w:trHeight w:val="300"/>
          <w:jc w:val="center"/>
        </w:trPr>
        <w:tc>
          <w:tcPr>
            <w:tcW w:w="1518" w:type="dxa"/>
            <w:tcBorders>
              <w:top w:val="single" w:sz="4" w:space="0" w:color="auto"/>
              <w:left w:val="single" w:sz="4" w:space="0" w:color="auto"/>
              <w:bottom w:val="single" w:sz="4" w:space="0" w:color="auto"/>
              <w:right w:val="single" w:sz="4" w:space="0" w:color="auto"/>
            </w:tcBorders>
            <w:shd w:val="clear" w:color="auto" w:fill="auto"/>
            <w:noWrap/>
            <w:hideMark/>
          </w:tcPr>
          <w:p w14:paraId="1D2FDD2C" w14:textId="77777777" w:rsidR="00DA4753" w:rsidRPr="008E5D4C" w:rsidRDefault="00DA4753" w:rsidP="00DA4753">
            <w:pPr>
              <w:pStyle w:val="TableText"/>
              <w:keepNext/>
              <w:keepLines/>
              <w:jc w:val="left"/>
              <w:rPr>
                <w:sz w:val="20"/>
                <w:szCs w:val="20"/>
              </w:rPr>
            </w:pPr>
            <w:r w:rsidRPr="008E5D4C">
              <w:rPr>
                <w:sz w:val="20"/>
                <w:szCs w:val="20"/>
              </w:rPr>
              <w:t>Weather</w:t>
            </w:r>
          </w:p>
        </w:tc>
        <w:tc>
          <w:tcPr>
            <w:tcW w:w="3028" w:type="dxa"/>
            <w:tcBorders>
              <w:top w:val="single" w:sz="4" w:space="0" w:color="auto"/>
              <w:left w:val="nil"/>
              <w:bottom w:val="single" w:sz="4" w:space="0" w:color="auto"/>
              <w:right w:val="single" w:sz="4" w:space="0" w:color="auto"/>
            </w:tcBorders>
            <w:shd w:val="clear" w:color="auto" w:fill="auto"/>
            <w:noWrap/>
          </w:tcPr>
          <w:p w14:paraId="5044B115" w14:textId="70A5C833" w:rsidR="00DA4753" w:rsidRPr="008E5D4C" w:rsidRDefault="00FE7791" w:rsidP="00FE7791">
            <w:pPr>
              <w:pStyle w:val="TableText"/>
              <w:keepNext/>
              <w:keepLines/>
              <w:spacing w:after="120"/>
              <w:jc w:val="left"/>
              <w:rPr>
                <w:rFonts w:cs="Calibri"/>
                <w:sz w:val="20"/>
                <w:szCs w:val="20"/>
              </w:rPr>
            </w:pPr>
            <w:r>
              <w:rPr>
                <w:rFonts w:cs="Calibri"/>
                <w:sz w:val="20"/>
                <w:szCs w:val="20"/>
              </w:rPr>
              <w:t>51.4</w:t>
            </w:r>
            <w:r w:rsidR="00DA4753">
              <w:rPr>
                <w:rFonts w:cs="Calibri"/>
                <w:sz w:val="20"/>
                <w:szCs w:val="20"/>
              </w:rPr>
              <w:t xml:space="preserve"> degrees Fahrenheit during event hours.</w:t>
            </w:r>
          </w:p>
        </w:tc>
        <w:tc>
          <w:tcPr>
            <w:tcW w:w="2340" w:type="dxa"/>
            <w:tcBorders>
              <w:top w:val="single" w:sz="4" w:space="0" w:color="auto"/>
              <w:left w:val="nil"/>
              <w:bottom w:val="single" w:sz="4" w:space="0" w:color="auto"/>
              <w:right w:val="single" w:sz="4" w:space="0" w:color="auto"/>
            </w:tcBorders>
            <w:shd w:val="clear" w:color="000000" w:fill="FFFFFF"/>
          </w:tcPr>
          <w:p w14:paraId="764A5322" w14:textId="3A8F2B0D" w:rsidR="00DA4753" w:rsidRPr="008E5D4C" w:rsidRDefault="00DA4753" w:rsidP="001678F9">
            <w:pPr>
              <w:pStyle w:val="TableText"/>
              <w:keepNext/>
              <w:keepLines/>
              <w:jc w:val="left"/>
              <w:rPr>
                <w:sz w:val="20"/>
                <w:szCs w:val="20"/>
              </w:rPr>
            </w:pPr>
            <w:r>
              <w:rPr>
                <w:rFonts w:cs="Calibri"/>
                <w:sz w:val="20"/>
                <w:szCs w:val="20"/>
              </w:rPr>
              <w:t>9</w:t>
            </w:r>
            <w:r w:rsidR="001678F9">
              <w:rPr>
                <w:rFonts w:cs="Calibri"/>
                <w:sz w:val="20"/>
                <w:szCs w:val="20"/>
              </w:rPr>
              <w:t>3</w:t>
            </w:r>
            <w:r>
              <w:rPr>
                <w:rFonts w:cs="Calibri"/>
                <w:sz w:val="20"/>
                <w:szCs w:val="20"/>
              </w:rPr>
              <w:t>.</w:t>
            </w:r>
            <w:r w:rsidR="001678F9">
              <w:rPr>
                <w:rFonts w:cs="Calibri"/>
                <w:sz w:val="20"/>
                <w:szCs w:val="20"/>
              </w:rPr>
              <w:t>1</w:t>
            </w:r>
            <w:r>
              <w:rPr>
                <w:rFonts w:cs="Calibri"/>
                <w:sz w:val="20"/>
                <w:szCs w:val="20"/>
              </w:rPr>
              <w:t xml:space="preserve"> degrees Fahrenheit during event hours on </w:t>
            </w:r>
            <w:r w:rsidR="00FE7791">
              <w:rPr>
                <w:rFonts w:cs="Calibri"/>
                <w:sz w:val="20"/>
                <w:szCs w:val="20"/>
              </w:rPr>
              <w:t xml:space="preserve">utility-specific </w:t>
            </w:r>
            <w:r>
              <w:rPr>
                <w:rFonts w:cs="Calibri"/>
                <w:sz w:val="20"/>
                <w:szCs w:val="20"/>
              </w:rPr>
              <w:t>1-in-2 Aug peak day.</w:t>
            </w:r>
          </w:p>
        </w:tc>
        <w:tc>
          <w:tcPr>
            <w:tcW w:w="2566" w:type="dxa"/>
            <w:tcBorders>
              <w:top w:val="single" w:sz="4" w:space="0" w:color="auto"/>
              <w:left w:val="nil"/>
              <w:bottom w:val="single" w:sz="4" w:space="0" w:color="auto"/>
              <w:right w:val="single" w:sz="4" w:space="0" w:color="auto"/>
            </w:tcBorders>
            <w:shd w:val="clear" w:color="000000" w:fill="FFFFFF"/>
          </w:tcPr>
          <w:p w14:paraId="1C643DC2" w14:textId="509E21F5" w:rsidR="00DA4753" w:rsidRPr="008E5D4C" w:rsidRDefault="001678F9" w:rsidP="00784245">
            <w:pPr>
              <w:pStyle w:val="TableText"/>
              <w:keepNext/>
              <w:keepLines/>
              <w:jc w:val="left"/>
              <w:rPr>
                <w:sz w:val="20"/>
                <w:szCs w:val="20"/>
              </w:rPr>
            </w:pPr>
            <w:r>
              <w:rPr>
                <w:sz w:val="20"/>
                <w:szCs w:val="20"/>
              </w:rPr>
              <w:t>The load is not very weather sensitive, but the temperature difference is large</w:t>
            </w:r>
            <w:r w:rsidR="00784245">
              <w:rPr>
                <w:sz w:val="20"/>
                <w:szCs w:val="20"/>
              </w:rPr>
              <w:t xml:space="preserve"> so it is a factor. As described above, the February 1-in-2 per-customer reference load is very close to ex post levels.</w:t>
            </w:r>
          </w:p>
        </w:tc>
      </w:tr>
      <w:tr w:rsidR="00DA4753" w:rsidRPr="007F356D" w14:paraId="17AF1043"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7DD13BDB" w14:textId="77777777" w:rsidR="00DA4753" w:rsidRPr="008E5D4C" w:rsidRDefault="00DA4753" w:rsidP="00DA4753">
            <w:pPr>
              <w:pStyle w:val="TableText"/>
              <w:keepNext/>
              <w:keepLines/>
              <w:jc w:val="left"/>
              <w:rPr>
                <w:sz w:val="20"/>
                <w:szCs w:val="20"/>
              </w:rPr>
            </w:pPr>
            <w:r w:rsidRPr="008E5D4C">
              <w:rPr>
                <w:sz w:val="20"/>
                <w:szCs w:val="20"/>
              </w:rPr>
              <w:t>Event window</w:t>
            </w:r>
          </w:p>
        </w:tc>
        <w:tc>
          <w:tcPr>
            <w:tcW w:w="3028" w:type="dxa"/>
            <w:tcBorders>
              <w:top w:val="nil"/>
              <w:left w:val="nil"/>
              <w:bottom w:val="single" w:sz="4" w:space="0" w:color="auto"/>
              <w:right w:val="single" w:sz="4" w:space="0" w:color="auto"/>
            </w:tcBorders>
            <w:shd w:val="clear" w:color="auto" w:fill="auto"/>
            <w:noWrap/>
          </w:tcPr>
          <w:p w14:paraId="5EF24E65" w14:textId="6139B615" w:rsidR="00DA4753" w:rsidRPr="008E5D4C" w:rsidRDefault="00DA4753" w:rsidP="00784245">
            <w:pPr>
              <w:pStyle w:val="TableText"/>
              <w:keepNext/>
              <w:keepLines/>
              <w:jc w:val="left"/>
              <w:rPr>
                <w:rFonts w:cs="Calibri"/>
                <w:sz w:val="20"/>
                <w:szCs w:val="20"/>
              </w:rPr>
            </w:pPr>
            <w:r>
              <w:rPr>
                <w:rFonts w:cs="Calibri"/>
                <w:sz w:val="20"/>
                <w:szCs w:val="20"/>
              </w:rPr>
              <w:t>HE 1</w:t>
            </w:r>
            <w:r w:rsidR="00784245">
              <w:rPr>
                <w:rFonts w:cs="Calibri"/>
                <w:sz w:val="20"/>
                <w:szCs w:val="20"/>
              </w:rPr>
              <w:t>6</w:t>
            </w:r>
            <w:r>
              <w:rPr>
                <w:rFonts w:cs="Calibri"/>
                <w:sz w:val="20"/>
                <w:szCs w:val="20"/>
              </w:rPr>
              <w:t>-</w:t>
            </w:r>
            <w:r w:rsidR="00784245">
              <w:rPr>
                <w:rFonts w:cs="Calibri"/>
                <w:sz w:val="20"/>
                <w:szCs w:val="20"/>
              </w:rPr>
              <w:t>19</w:t>
            </w:r>
            <w:r>
              <w:rPr>
                <w:rFonts w:cs="Calibri"/>
                <w:sz w:val="20"/>
                <w:szCs w:val="20"/>
              </w:rPr>
              <w:t>.</w:t>
            </w:r>
          </w:p>
        </w:tc>
        <w:tc>
          <w:tcPr>
            <w:tcW w:w="2340" w:type="dxa"/>
            <w:tcBorders>
              <w:top w:val="nil"/>
              <w:left w:val="nil"/>
              <w:bottom w:val="single" w:sz="4" w:space="0" w:color="auto"/>
              <w:right w:val="single" w:sz="4" w:space="0" w:color="auto"/>
            </w:tcBorders>
            <w:shd w:val="clear" w:color="000000" w:fill="FFFFFF"/>
          </w:tcPr>
          <w:p w14:paraId="10B6730D" w14:textId="77777777" w:rsidR="00DA4753" w:rsidRDefault="00DA4753" w:rsidP="00DA4753">
            <w:pPr>
              <w:pStyle w:val="TableText"/>
              <w:keepNext/>
              <w:keepLines/>
              <w:jc w:val="left"/>
              <w:rPr>
                <w:sz w:val="20"/>
                <w:szCs w:val="20"/>
              </w:rPr>
            </w:pPr>
            <w:r>
              <w:rPr>
                <w:sz w:val="20"/>
                <w:szCs w:val="20"/>
              </w:rPr>
              <w:t>HE 14-18 in Apr-Oct;</w:t>
            </w:r>
          </w:p>
          <w:p w14:paraId="426884F3" w14:textId="77777777" w:rsidR="00DA4753" w:rsidRPr="008E5D4C" w:rsidRDefault="00DA4753" w:rsidP="00DA4753">
            <w:pPr>
              <w:pStyle w:val="TableText"/>
              <w:keepNext/>
              <w:keepLines/>
              <w:jc w:val="left"/>
              <w:rPr>
                <w:sz w:val="20"/>
                <w:szCs w:val="20"/>
              </w:rPr>
            </w:pPr>
            <w:r>
              <w:rPr>
                <w:sz w:val="20"/>
                <w:szCs w:val="20"/>
              </w:rPr>
              <w:t>HE 17-21 in Nov-Mar.</w:t>
            </w:r>
          </w:p>
        </w:tc>
        <w:tc>
          <w:tcPr>
            <w:tcW w:w="2566" w:type="dxa"/>
            <w:tcBorders>
              <w:top w:val="nil"/>
              <w:left w:val="nil"/>
              <w:bottom w:val="single" w:sz="4" w:space="0" w:color="auto"/>
              <w:right w:val="single" w:sz="4" w:space="0" w:color="auto"/>
            </w:tcBorders>
            <w:shd w:val="clear" w:color="000000" w:fill="FFFFFF"/>
          </w:tcPr>
          <w:p w14:paraId="3EC14634" w14:textId="5B4EBA12" w:rsidR="00DA4753" w:rsidRPr="008E5D4C" w:rsidRDefault="00784245" w:rsidP="00DA4753">
            <w:pPr>
              <w:pStyle w:val="TableText"/>
              <w:keepNext/>
              <w:keepLines/>
              <w:jc w:val="left"/>
              <w:rPr>
                <w:sz w:val="20"/>
                <w:szCs w:val="20"/>
              </w:rPr>
            </w:pPr>
            <w:r>
              <w:rPr>
                <w:sz w:val="20"/>
                <w:szCs w:val="20"/>
              </w:rPr>
              <w:t>The earlier summer ex ante event window contributes to higher reference loads and load impacts relative to the ex post window. In non-summer the difference in event window is inconsequential.</w:t>
            </w:r>
          </w:p>
        </w:tc>
      </w:tr>
      <w:tr w:rsidR="00DA4753" w:rsidRPr="007F356D" w14:paraId="3D1D0037"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320F85E0" w14:textId="77777777" w:rsidR="00DA4753" w:rsidRPr="008E5D4C" w:rsidRDefault="00DA4753" w:rsidP="00DA4753">
            <w:pPr>
              <w:pStyle w:val="TableText"/>
              <w:keepNext/>
              <w:keepLines/>
              <w:jc w:val="left"/>
              <w:rPr>
                <w:sz w:val="20"/>
                <w:szCs w:val="20"/>
              </w:rPr>
            </w:pPr>
            <w:r w:rsidRPr="008E5D4C">
              <w:rPr>
                <w:sz w:val="20"/>
                <w:szCs w:val="20"/>
              </w:rPr>
              <w:t>% of resource dispatched</w:t>
            </w:r>
          </w:p>
        </w:tc>
        <w:tc>
          <w:tcPr>
            <w:tcW w:w="3028" w:type="dxa"/>
            <w:tcBorders>
              <w:top w:val="nil"/>
              <w:left w:val="nil"/>
              <w:bottom w:val="single" w:sz="4" w:space="0" w:color="auto"/>
              <w:right w:val="single" w:sz="4" w:space="0" w:color="auto"/>
            </w:tcBorders>
            <w:shd w:val="clear" w:color="auto" w:fill="auto"/>
            <w:noWrap/>
          </w:tcPr>
          <w:p w14:paraId="188FAA4F" w14:textId="77777777" w:rsidR="00DA4753" w:rsidRPr="008E5D4C" w:rsidRDefault="00DA4753" w:rsidP="00DA4753">
            <w:pPr>
              <w:pStyle w:val="TableText"/>
              <w:keepNext/>
              <w:keepLines/>
              <w:jc w:val="left"/>
              <w:rPr>
                <w:rFonts w:cs="Calibri"/>
                <w:sz w:val="20"/>
                <w:szCs w:val="20"/>
              </w:rPr>
            </w:pPr>
            <w:r>
              <w:rPr>
                <w:rFonts w:cs="Calibri"/>
                <w:sz w:val="20"/>
                <w:szCs w:val="20"/>
              </w:rPr>
              <w:t>All customers were called.</w:t>
            </w:r>
          </w:p>
        </w:tc>
        <w:tc>
          <w:tcPr>
            <w:tcW w:w="2340" w:type="dxa"/>
            <w:tcBorders>
              <w:top w:val="nil"/>
              <w:left w:val="nil"/>
              <w:bottom w:val="single" w:sz="4" w:space="0" w:color="auto"/>
              <w:right w:val="single" w:sz="4" w:space="0" w:color="auto"/>
            </w:tcBorders>
            <w:shd w:val="clear" w:color="000000" w:fill="FFFFFF"/>
          </w:tcPr>
          <w:p w14:paraId="5A855A8F" w14:textId="77777777" w:rsidR="00DA4753" w:rsidRPr="008E5D4C" w:rsidRDefault="00DA4753" w:rsidP="00DA4753">
            <w:pPr>
              <w:pStyle w:val="TableText"/>
              <w:keepNext/>
              <w:keepLines/>
              <w:jc w:val="left"/>
              <w:rPr>
                <w:sz w:val="20"/>
                <w:szCs w:val="20"/>
              </w:rPr>
            </w:pPr>
            <w:r>
              <w:rPr>
                <w:sz w:val="20"/>
                <w:szCs w:val="20"/>
              </w:rPr>
              <w:t>Assume all customers are called.</w:t>
            </w:r>
          </w:p>
        </w:tc>
        <w:tc>
          <w:tcPr>
            <w:tcW w:w="2566" w:type="dxa"/>
            <w:tcBorders>
              <w:top w:val="nil"/>
              <w:left w:val="nil"/>
              <w:bottom w:val="single" w:sz="4" w:space="0" w:color="auto"/>
              <w:right w:val="single" w:sz="4" w:space="0" w:color="auto"/>
            </w:tcBorders>
            <w:shd w:val="clear" w:color="000000" w:fill="FFFFFF"/>
          </w:tcPr>
          <w:p w14:paraId="48F01330" w14:textId="77777777" w:rsidR="00DA4753" w:rsidRPr="008E5D4C" w:rsidRDefault="00DA4753" w:rsidP="00DA4753">
            <w:pPr>
              <w:pStyle w:val="TableText"/>
              <w:keepNext/>
              <w:keepLines/>
              <w:jc w:val="left"/>
              <w:rPr>
                <w:sz w:val="20"/>
                <w:szCs w:val="20"/>
              </w:rPr>
            </w:pPr>
            <w:r>
              <w:rPr>
                <w:sz w:val="20"/>
                <w:szCs w:val="20"/>
              </w:rPr>
              <w:t>None. The ex ante method assumes that all enrolled customers are dispatched.</w:t>
            </w:r>
          </w:p>
        </w:tc>
      </w:tr>
      <w:tr w:rsidR="00DA4753" w:rsidRPr="007F356D" w14:paraId="00A8C114"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1C9E076A" w14:textId="77777777" w:rsidR="00DA4753" w:rsidRPr="008E5D4C" w:rsidRDefault="00DA4753" w:rsidP="00DA4753">
            <w:pPr>
              <w:pStyle w:val="TableText"/>
              <w:keepNext/>
              <w:keepLines/>
              <w:jc w:val="left"/>
              <w:rPr>
                <w:sz w:val="20"/>
                <w:szCs w:val="20"/>
              </w:rPr>
            </w:pPr>
            <w:r w:rsidRPr="008E5D4C">
              <w:rPr>
                <w:sz w:val="20"/>
                <w:szCs w:val="20"/>
              </w:rPr>
              <w:t>Enrollment</w:t>
            </w:r>
          </w:p>
        </w:tc>
        <w:tc>
          <w:tcPr>
            <w:tcW w:w="3028" w:type="dxa"/>
            <w:tcBorders>
              <w:top w:val="nil"/>
              <w:left w:val="nil"/>
              <w:bottom w:val="single" w:sz="4" w:space="0" w:color="auto"/>
              <w:right w:val="single" w:sz="4" w:space="0" w:color="auto"/>
            </w:tcBorders>
            <w:shd w:val="clear" w:color="auto" w:fill="auto"/>
            <w:noWrap/>
          </w:tcPr>
          <w:p w14:paraId="758F2148" w14:textId="14696996" w:rsidR="00DA4753" w:rsidRPr="008E5D4C" w:rsidRDefault="00784245" w:rsidP="00784245">
            <w:pPr>
              <w:pStyle w:val="TableText"/>
              <w:keepNext/>
              <w:keepLines/>
              <w:jc w:val="left"/>
              <w:rPr>
                <w:rFonts w:cs="Calibri"/>
                <w:sz w:val="20"/>
                <w:szCs w:val="20"/>
              </w:rPr>
            </w:pPr>
            <w:r>
              <w:rPr>
                <w:rFonts w:cs="Calibri"/>
                <w:sz w:val="20"/>
                <w:szCs w:val="20"/>
              </w:rPr>
              <w:t>620</w:t>
            </w:r>
            <w:r w:rsidR="00DA4753">
              <w:rPr>
                <w:rFonts w:cs="Calibri"/>
                <w:sz w:val="20"/>
                <w:szCs w:val="20"/>
              </w:rPr>
              <w:t xml:space="preserve"> SAIDs during the </w:t>
            </w:r>
            <w:r>
              <w:rPr>
                <w:rFonts w:cs="Calibri"/>
                <w:sz w:val="20"/>
                <w:szCs w:val="20"/>
              </w:rPr>
              <w:t xml:space="preserve">ex post </w:t>
            </w:r>
            <w:r w:rsidR="00DA4753">
              <w:rPr>
                <w:rFonts w:cs="Calibri"/>
                <w:sz w:val="20"/>
                <w:szCs w:val="20"/>
              </w:rPr>
              <w:t>event day.</w:t>
            </w:r>
          </w:p>
        </w:tc>
        <w:tc>
          <w:tcPr>
            <w:tcW w:w="2340" w:type="dxa"/>
            <w:tcBorders>
              <w:top w:val="nil"/>
              <w:left w:val="nil"/>
              <w:bottom w:val="single" w:sz="4" w:space="0" w:color="auto"/>
              <w:right w:val="single" w:sz="4" w:space="0" w:color="auto"/>
            </w:tcBorders>
            <w:shd w:val="clear" w:color="000000" w:fill="FFFFFF"/>
          </w:tcPr>
          <w:p w14:paraId="0EFCB4B4" w14:textId="4DAC2527" w:rsidR="00DA4753" w:rsidRPr="008E5D4C" w:rsidRDefault="00784245" w:rsidP="00784245">
            <w:pPr>
              <w:pStyle w:val="TableText"/>
              <w:keepNext/>
              <w:keepLines/>
              <w:jc w:val="left"/>
              <w:rPr>
                <w:sz w:val="20"/>
                <w:szCs w:val="20"/>
              </w:rPr>
            </w:pPr>
            <w:r>
              <w:rPr>
                <w:sz w:val="20"/>
                <w:szCs w:val="20"/>
              </w:rPr>
              <w:t>580</w:t>
            </w:r>
            <w:r w:rsidR="00DA4753">
              <w:rPr>
                <w:sz w:val="20"/>
                <w:szCs w:val="20"/>
              </w:rPr>
              <w:t xml:space="preserve"> SAIDs in August 201</w:t>
            </w:r>
            <w:r>
              <w:rPr>
                <w:sz w:val="20"/>
                <w:szCs w:val="20"/>
              </w:rPr>
              <w:t>5</w:t>
            </w:r>
            <w:r w:rsidR="00DA4753">
              <w:rPr>
                <w:sz w:val="20"/>
                <w:szCs w:val="20"/>
              </w:rPr>
              <w:t>.</w:t>
            </w:r>
          </w:p>
        </w:tc>
        <w:tc>
          <w:tcPr>
            <w:tcW w:w="2566" w:type="dxa"/>
            <w:tcBorders>
              <w:top w:val="nil"/>
              <w:left w:val="nil"/>
              <w:bottom w:val="single" w:sz="4" w:space="0" w:color="auto"/>
              <w:right w:val="single" w:sz="4" w:space="0" w:color="auto"/>
            </w:tcBorders>
            <w:shd w:val="clear" w:color="000000" w:fill="FFFFFF"/>
          </w:tcPr>
          <w:p w14:paraId="0FAD2673" w14:textId="398ECD57" w:rsidR="00DA4753" w:rsidRPr="008E5D4C" w:rsidRDefault="00784245" w:rsidP="00B75E52">
            <w:pPr>
              <w:pStyle w:val="TableText"/>
              <w:keepNext/>
              <w:keepLines/>
              <w:jc w:val="left"/>
              <w:rPr>
                <w:sz w:val="20"/>
                <w:szCs w:val="20"/>
              </w:rPr>
            </w:pPr>
            <w:r w:rsidRPr="00B75E52">
              <w:rPr>
                <w:sz w:val="20"/>
                <w:szCs w:val="20"/>
              </w:rPr>
              <w:t xml:space="preserve">The lower forecast enrollment </w:t>
            </w:r>
            <w:r w:rsidR="00B75E52">
              <w:rPr>
                <w:sz w:val="20"/>
                <w:szCs w:val="20"/>
              </w:rPr>
              <w:t>also leads to a slight increase in average customer size because relatively small customers left the program.</w:t>
            </w:r>
          </w:p>
        </w:tc>
      </w:tr>
      <w:tr w:rsidR="00DA4753" w:rsidRPr="007F356D" w14:paraId="5C3183AE"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6503D1B0" w14:textId="77777777" w:rsidR="00DA4753" w:rsidRPr="008E5D4C" w:rsidRDefault="00DA4753" w:rsidP="00DA4753">
            <w:pPr>
              <w:pStyle w:val="TableText"/>
              <w:keepNext/>
              <w:keepLines/>
              <w:jc w:val="left"/>
              <w:rPr>
                <w:sz w:val="20"/>
                <w:szCs w:val="20"/>
              </w:rPr>
            </w:pPr>
            <w:r w:rsidRPr="008E5D4C">
              <w:rPr>
                <w:sz w:val="20"/>
                <w:szCs w:val="20"/>
              </w:rPr>
              <w:t>Methodology</w:t>
            </w:r>
          </w:p>
        </w:tc>
        <w:tc>
          <w:tcPr>
            <w:tcW w:w="3028" w:type="dxa"/>
            <w:tcBorders>
              <w:top w:val="nil"/>
              <w:left w:val="nil"/>
              <w:bottom w:val="single" w:sz="4" w:space="0" w:color="auto"/>
              <w:right w:val="single" w:sz="4" w:space="0" w:color="auto"/>
            </w:tcBorders>
            <w:shd w:val="clear" w:color="auto" w:fill="auto"/>
            <w:noWrap/>
          </w:tcPr>
          <w:p w14:paraId="5E903A55" w14:textId="77777777" w:rsidR="00DA4753" w:rsidRPr="008E5D4C" w:rsidRDefault="00DA4753" w:rsidP="00DA4753">
            <w:pPr>
              <w:pStyle w:val="TableText"/>
              <w:keepNext/>
              <w:keepLines/>
              <w:spacing w:after="120"/>
              <w:jc w:val="left"/>
              <w:rPr>
                <w:rFonts w:cs="Calibri"/>
                <w:sz w:val="20"/>
                <w:szCs w:val="20"/>
              </w:rPr>
            </w:pPr>
            <w:r>
              <w:rPr>
                <w:rFonts w:cs="Calibri"/>
                <w:sz w:val="20"/>
                <w:szCs w:val="20"/>
              </w:rPr>
              <w:t>SAID-specific regressions using own within-subject analysis.</w:t>
            </w:r>
          </w:p>
        </w:tc>
        <w:tc>
          <w:tcPr>
            <w:tcW w:w="2340" w:type="dxa"/>
            <w:tcBorders>
              <w:top w:val="nil"/>
              <w:left w:val="nil"/>
              <w:bottom w:val="single" w:sz="4" w:space="0" w:color="auto"/>
              <w:right w:val="single" w:sz="4" w:space="0" w:color="auto"/>
            </w:tcBorders>
            <w:shd w:val="clear" w:color="000000" w:fill="FFFFFF"/>
          </w:tcPr>
          <w:p w14:paraId="5E1ABBAC" w14:textId="091003C2" w:rsidR="00DA4753" w:rsidRPr="008E5D4C" w:rsidRDefault="00DA4753" w:rsidP="00784245">
            <w:pPr>
              <w:pStyle w:val="TableText"/>
              <w:keepNext/>
              <w:keepLines/>
              <w:jc w:val="left"/>
              <w:rPr>
                <w:sz w:val="20"/>
                <w:szCs w:val="20"/>
              </w:rPr>
            </w:pPr>
            <w:r>
              <w:rPr>
                <w:sz w:val="20"/>
                <w:szCs w:val="20"/>
              </w:rPr>
              <w:t xml:space="preserve">Reference loads are simulated from </w:t>
            </w:r>
            <w:r>
              <w:rPr>
                <w:rFonts w:cs="Calibri"/>
                <w:sz w:val="20"/>
                <w:szCs w:val="20"/>
              </w:rPr>
              <w:t xml:space="preserve">SAID-specific regressions. Load impacts are based on </w:t>
            </w:r>
            <w:r w:rsidR="00784245">
              <w:rPr>
                <w:rFonts w:cs="Calibri"/>
                <w:sz w:val="20"/>
                <w:szCs w:val="20"/>
              </w:rPr>
              <w:t xml:space="preserve">the </w:t>
            </w:r>
            <w:r>
              <w:rPr>
                <w:rFonts w:cs="Calibri"/>
                <w:sz w:val="20"/>
                <w:szCs w:val="20"/>
              </w:rPr>
              <w:t>SAID-specific load impacts</w:t>
            </w:r>
            <w:r w:rsidR="00784245">
              <w:rPr>
                <w:rFonts w:cs="Calibri"/>
                <w:sz w:val="20"/>
                <w:szCs w:val="20"/>
              </w:rPr>
              <w:t xml:space="preserve"> from the PY2014 event day</w:t>
            </w:r>
            <w:r>
              <w:rPr>
                <w:rFonts w:cs="Calibri"/>
                <w:sz w:val="20"/>
                <w:szCs w:val="20"/>
              </w:rPr>
              <w:t>.</w:t>
            </w:r>
          </w:p>
        </w:tc>
        <w:tc>
          <w:tcPr>
            <w:tcW w:w="2566" w:type="dxa"/>
            <w:tcBorders>
              <w:top w:val="nil"/>
              <w:left w:val="nil"/>
              <w:bottom w:val="single" w:sz="4" w:space="0" w:color="auto"/>
              <w:right w:val="single" w:sz="4" w:space="0" w:color="auto"/>
            </w:tcBorders>
            <w:shd w:val="clear" w:color="000000" w:fill="FFFFFF"/>
          </w:tcPr>
          <w:p w14:paraId="429EABCC" w14:textId="28D7A7A6" w:rsidR="00DA4753" w:rsidRPr="008E5D4C" w:rsidRDefault="00CC435E" w:rsidP="00DA4753">
            <w:pPr>
              <w:pStyle w:val="TableText"/>
              <w:keepNext/>
              <w:keepLines/>
              <w:jc w:val="left"/>
              <w:rPr>
                <w:sz w:val="20"/>
                <w:szCs w:val="20"/>
              </w:rPr>
            </w:pPr>
            <w:r>
              <w:rPr>
                <w:sz w:val="20"/>
                <w:szCs w:val="20"/>
              </w:rPr>
              <w:t>No effect because the 2014 ex post event day is the basis of the ex ante forecast.</w:t>
            </w:r>
          </w:p>
        </w:tc>
      </w:tr>
    </w:tbl>
    <w:p w14:paraId="72958A7E" w14:textId="77777777" w:rsidR="00DA4753" w:rsidRDefault="00DA4753" w:rsidP="00DA4753"/>
    <w:p w14:paraId="106EBC93" w14:textId="25B4936A" w:rsidR="00DA4753" w:rsidRPr="00A11E7E" w:rsidRDefault="00DA4753" w:rsidP="00DA4753">
      <w:pPr>
        <w:pStyle w:val="Heading2"/>
      </w:pPr>
      <w:bookmarkStart w:id="235" w:name="_Toc383597961"/>
      <w:bookmarkStart w:id="236" w:name="_Toc415488985"/>
      <w:r w:rsidRPr="00A11E7E">
        <w:t>6.3 SDG&amp;E</w:t>
      </w:r>
      <w:bookmarkEnd w:id="235"/>
      <w:bookmarkEnd w:id="236"/>
      <w:r w:rsidR="006F6D54" w:rsidRPr="00A11E7E">
        <w:t xml:space="preserve"> </w:t>
      </w:r>
    </w:p>
    <w:p w14:paraId="034515B8" w14:textId="77777777" w:rsidR="00DA4753" w:rsidRPr="00A11E7E" w:rsidRDefault="00DA4753" w:rsidP="00DA4753">
      <w:pPr>
        <w:pStyle w:val="Heading3"/>
      </w:pPr>
      <w:bookmarkStart w:id="237" w:name="_Toc383597962"/>
      <w:bookmarkStart w:id="238" w:name="_Toc415488986"/>
      <w:r w:rsidRPr="00A11E7E">
        <w:t>6.3.1 Previous versus current ex post</w:t>
      </w:r>
      <w:bookmarkEnd w:id="237"/>
      <w:bookmarkEnd w:id="238"/>
    </w:p>
    <w:p w14:paraId="248AC4FC" w14:textId="0357F015" w:rsidR="0022673D" w:rsidRDefault="00DA4753" w:rsidP="00DA4753">
      <w:r>
        <w:t>Table 6.1</w:t>
      </w:r>
      <w:r w:rsidR="00372CA5">
        <w:t>1</w:t>
      </w:r>
      <w:r>
        <w:t xml:space="preserve"> compares ex post load impacts </w:t>
      </w:r>
      <w:r w:rsidR="0022673D">
        <w:t xml:space="preserve">between PY2013 and PY2014. Seven service accounts were enrolled in each year. The PY2013 load impacts are based on the </w:t>
      </w:r>
      <w:r w:rsidR="0022673D">
        <w:lastRenderedPageBreak/>
        <w:t>September 5, 2013 event (four hours in duration), while the PY2014 load impacts are based on the May 16, 2014 event (four hours in duration).</w:t>
      </w:r>
      <w:r w:rsidR="009654E4">
        <w:t xml:space="preserve"> The total reference load and load impact was somewhat lower in PY2013, though the percentage load impact was </w:t>
      </w:r>
      <w:r w:rsidR="00B525DE">
        <w:t>similar in the two years</w:t>
      </w:r>
      <w:r w:rsidR="009654E4">
        <w:t>.</w:t>
      </w:r>
    </w:p>
    <w:p w14:paraId="2E6FF6E4" w14:textId="77777777" w:rsidR="00DA4753" w:rsidRDefault="00DA4753" w:rsidP="00DA4753"/>
    <w:p w14:paraId="185F4524" w14:textId="580A369D" w:rsidR="00DA4753" w:rsidRDefault="00DA4753" w:rsidP="00DA4753">
      <w:pPr>
        <w:pStyle w:val="TableCaption"/>
        <w:keepNext/>
        <w:keepLines/>
        <w:rPr>
          <w:i/>
        </w:rPr>
      </w:pPr>
      <w:bookmarkStart w:id="239" w:name="_Toc383598025"/>
      <w:bookmarkStart w:id="240" w:name="_Toc415489035"/>
      <w:r w:rsidRPr="00376F46">
        <w:t xml:space="preserve">Table </w:t>
      </w:r>
      <w:r>
        <w:t>6</w:t>
      </w:r>
      <w:r w:rsidRPr="00376F46">
        <w:t>.</w:t>
      </w:r>
      <w:r>
        <w:t>1</w:t>
      </w:r>
      <w:r w:rsidR="00372CA5">
        <w:t>1</w:t>
      </w:r>
      <w:r w:rsidRPr="00376F46">
        <w:t xml:space="preserve">: Comparison of </w:t>
      </w:r>
      <w:r>
        <w:t xml:space="preserve">Average Event-day Ex Post </w:t>
      </w:r>
      <w:r w:rsidRPr="00376F46">
        <w:t>Impacts (in MW) in PY 201</w:t>
      </w:r>
      <w:r w:rsidR="0022673D">
        <w:t>3 and PY2014</w:t>
      </w:r>
      <w:r w:rsidRPr="00376F46">
        <w:t xml:space="preserve">, </w:t>
      </w:r>
      <w:r>
        <w:rPr>
          <w:i/>
        </w:rPr>
        <w:t>SD</w:t>
      </w:r>
      <w:r w:rsidRPr="00376F46">
        <w:rPr>
          <w:i/>
        </w:rPr>
        <w:t>G&amp;E</w:t>
      </w:r>
      <w:bookmarkEnd w:id="239"/>
      <w:bookmarkEnd w:id="24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1948"/>
        <w:gridCol w:w="1726"/>
        <w:gridCol w:w="1727"/>
      </w:tblGrid>
      <w:tr w:rsidR="0022673D" w14:paraId="3E71990C" w14:textId="77777777" w:rsidTr="0071083D">
        <w:trPr>
          <w:jc w:val="center"/>
        </w:trPr>
        <w:tc>
          <w:tcPr>
            <w:tcW w:w="1503" w:type="dxa"/>
            <w:shd w:val="clear" w:color="auto" w:fill="D9E2F3"/>
            <w:vAlign w:val="center"/>
          </w:tcPr>
          <w:p w14:paraId="37BCE1CC" w14:textId="77777777" w:rsidR="0022673D" w:rsidRPr="009C75E1" w:rsidRDefault="0022673D" w:rsidP="0071083D">
            <w:pPr>
              <w:keepNext/>
              <w:keepLines/>
              <w:jc w:val="center"/>
              <w:rPr>
                <w:rFonts w:ascii="Arial" w:hAnsi="Arial" w:cs="Arial"/>
                <w:b/>
                <w:sz w:val="20"/>
                <w:szCs w:val="20"/>
              </w:rPr>
            </w:pPr>
            <w:r w:rsidRPr="009C75E1">
              <w:rPr>
                <w:rFonts w:ascii="Arial" w:hAnsi="Arial" w:cs="Arial"/>
                <w:b/>
                <w:sz w:val="20"/>
                <w:szCs w:val="20"/>
              </w:rPr>
              <w:t>Level</w:t>
            </w:r>
          </w:p>
        </w:tc>
        <w:tc>
          <w:tcPr>
            <w:tcW w:w="1948" w:type="dxa"/>
            <w:shd w:val="clear" w:color="auto" w:fill="D9E2F3"/>
            <w:vAlign w:val="center"/>
          </w:tcPr>
          <w:p w14:paraId="642F0E92" w14:textId="77777777" w:rsidR="0022673D" w:rsidRPr="009C75E1" w:rsidRDefault="0022673D" w:rsidP="0071083D">
            <w:pPr>
              <w:keepNext/>
              <w:keepLines/>
              <w:jc w:val="center"/>
              <w:rPr>
                <w:rFonts w:ascii="Arial" w:hAnsi="Arial" w:cs="Arial"/>
                <w:b/>
                <w:sz w:val="20"/>
                <w:szCs w:val="20"/>
              </w:rPr>
            </w:pPr>
            <w:r w:rsidRPr="009C75E1">
              <w:rPr>
                <w:rFonts w:ascii="Arial" w:hAnsi="Arial" w:cs="Arial"/>
                <w:b/>
                <w:sz w:val="20"/>
                <w:szCs w:val="20"/>
              </w:rPr>
              <w:t>Outcome</w:t>
            </w:r>
          </w:p>
        </w:tc>
        <w:tc>
          <w:tcPr>
            <w:tcW w:w="1726" w:type="dxa"/>
            <w:shd w:val="clear" w:color="auto" w:fill="D9E2F3"/>
            <w:vAlign w:val="center"/>
          </w:tcPr>
          <w:p w14:paraId="7C4EF178" w14:textId="77777777" w:rsidR="0022673D" w:rsidRPr="009C75E1" w:rsidRDefault="0022673D" w:rsidP="0071083D">
            <w:pPr>
              <w:keepNext/>
              <w:keepLines/>
              <w:jc w:val="center"/>
              <w:rPr>
                <w:rFonts w:ascii="Arial" w:hAnsi="Arial" w:cs="Arial"/>
                <w:b/>
                <w:sz w:val="20"/>
                <w:szCs w:val="20"/>
              </w:rPr>
            </w:pPr>
            <w:r>
              <w:rPr>
                <w:rFonts w:ascii="Arial" w:hAnsi="Arial" w:cs="Arial"/>
                <w:b/>
                <w:sz w:val="20"/>
                <w:szCs w:val="20"/>
              </w:rPr>
              <w:t>PY2013</w:t>
            </w:r>
          </w:p>
        </w:tc>
        <w:tc>
          <w:tcPr>
            <w:tcW w:w="1727" w:type="dxa"/>
            <w:shd w:val="clear" w:color="auto" w:fill="D9E2F3"/>
            <w:vAlign w:val="center"/>
          </w:tcPr>
          <w:p w14:paraId="7B928126" w14:textId="77777777" w:rsidR="0022673D" w:rsidRPr="009C75E1" w:rsidRDefault="0022673D" w:rsidP="0071083D">
            <w:pPr>
              <w:keepNext/>
              <w:keepLines/>
              <w:jc w:val="center"/>
              <w:rPr>
                <w:rFonts w:ascii="Arial" w:hAnsi="Arial" w:cs="Arial"/>
                <w:b/>
                <w:sz w:val="20"/>
                <w:szCs w:val="20"/>
              </w:rPr>
            </w:pPr>
            <w:r w:rsidRPr="009C75E1">
              <w:rPr>
                <w:rFonts w:ascii="Arial" w:hAnsi="Arial" w:cs="Arial"/>
                <w:b/>
                <w:sz w:val="20"/>
                <w:szCs w:val="20"/>
              </w:rPr>
              <w:t>PY201</w:t>
            </w:r>
            <w:r>
              <w:rPr>
                <w:rFonts w:ascii="Arial" w:hAnsi="Arial" w:cs="Arial"/>
                <w:b/>
                <w:sz w:val="20"/>
                <w:szCs w:val="20"/>
              </w:rPr>
              <w:t>4</w:t>
            </w:r>
          </w:p>
        </w:tc>
      </w:tr>
      <w:tr w:rsidR="00B525DE" w14:paraId="3306AEB0" w14:textId="77777777" w:rsidTr="0071083D">
        <w:trPr>
          <w:jc w:val="center"/>
        </w:trPr>
        <w:tc>
          <w:tcPr>
            <w:tcW w:w="1503" w:type="dxa"/>
            <w:vMerge w:val="restart"/>
            <w:shd w:val="clear" w:color="auto" w:fill="auto"/>
            <w:vAlign w:val="center"/>
          </w:tcPr>
          <w:p w14:paraId="27094025" w14:textId="77777777" w:rsidR="00B525DE" w:rsidRPr="009C75E1" w:rsidRDefault="00B525DE" w:rsidP="00B525DE">
            <w:pPr>
              <w:keepNext/>
              <w:keepLines/>
              <w:rPr>
                <w:rFonts w:ascii="Arial" w:hAnsi="Arial" w:cs="Arial"/>
                <w:b/>
                <w:sz w:val="20"/>
                <w:szCs w:val="20"/>
              </w:rPr>
            </w:pPr>
            <w:r w:rsidRPr="009C75E1">
              <w:rPr>
                <w:rFonts w:ascii="Arial" w:hAnsi="Arial" w:cs="Arial"/>
                <w:b/>
                <w:sz w:val="20"/>
                <w:szCs w:val="20"/>
              </w:rPr>
              <w:t>Total</w:t>
            </w:r>
          </w:p>
        </w:tc>
        <w:tc>
          <w:tcPr>
            <w:tcW w:w="1948" w:type="dxa"/>
            <w:shd w:val="clear" w:color="auto" w:fill="auto"/>
          </w:tcPr>
          <w:p w14:paraId="28EE9CAA"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 SAIDs</w:t>
            </w:r>
          </w:p>
        </w:tc>
        <w:tc>
          <w:tcPr>
            <w:tcW w:w="1726" w:type="dxa"/>
            <w:shd w:val="clear" w:color="auto" w:fill="auto"/>
          </w:tcPr>
          <w:p w14:paraId="64FCFBB3" w14:textId="671F2C60" w:rsidR="00B525DE" w:rsidRPr="009C75E1" w:rsidRDefault="00B525DE" w:rsidP="00B525DE">
            <w:pPr>
              <w:keepNext/>
              <w:keepLines/>
              <w:jc w:val="center"/>
              <w:rPr>
                <w:rFonts w:ascii="Arial" w:hAnsi="Arial" w:cs="Arial"/>
                <w:sz w:val="20"/>
                <w:szCs w:val="20"/>
              </w:rPr>
            </w:pPr>
            <w:r>
              <w:rPr>
                <w:rFonts w:ascii="Arial" w:hAnsi="Arial" w:cs="Arial"/>
                <w:sz w:val="20"/>
                <w:szCs w:val="20"/>
              </w:rPr>
              <w:t>7</w:t>
            </w:r>
          </w:p>
        </w:tc>
        <w:tc>
          <w:tcPr>
            <w:tcW w:w="1727" w:type="dxa"/>
            <w:shd w:val="clear" w:color="auto" w:fill="auto"/>
          </w:tcPr>
          <w:p w14:paraId="5850E8FA" w14:textId="58DC5998" w:rsidR="00B525DE" w:rsidRPr="009C75E1" w:rsidRDefault="00B525DE" w:rsidP="00B525DE">
            <w:pPr>
              <w:keepNext/>
              <w:keepLines/>
              <w:jc w:val="center"/>
              <w:rPr>
                <w:rFonts w:ascii="Arial" w:hAnsi="Arial" w:cs="Arial"/>
                <w:sz w:val="20"/>
                <w:szCs w:val="20"/>
              </w:rPr>
            </w:pPr>
            <w:r>
              <w:rPr>
                <w:rFonts w:ascii="Arial" w:hAnsi="Arial" w:cs="Arial"/>
                <w:sz w:val="20"/>
                <w:szCs w:val="20"/>
              </w:rPr>
              <w:t>7</w:t>
            </w:r>
          </w:p>
        </w:tc>
      </w:tr>
      <w:tr w:rsidR="00B525DE" w14:paraId="43E23BF5" w14:textId="77777777" w:rsidTr="0071083D">
        <w:trPr>
          <w:trHeight w:val="242"/>
          <w:jc w:val="center"/>
        </w:trPr>
        <w:tc>
          <w:tcPr>
            <w:tcW w:w="1503" w:type="dxa"/>
            <w:vMerge/>
            <w:shd w:val="clear" w:color="auto" w:fill="auto"/>
            <w:vAlign w:val="center"/>
          </w:tcPr>
          <w:p w14:paraId="2268770C" w14:textId="77777777" w:rsidR="00B525DE" w:rsidRPr="009C75E1" w:rsidRDefault="00B525DE" w:rsidP="00B525DE">
            <w:pPr>
              <w:keepNext/>
              <w:keepLines/>
              <w:rPr>
                <w:rFonts w:ascii="Arial" w:hAnsi="Arial" w:cs="Arial"/>
                <w:sz w:val="20"/>
                <w:szCs w:val="20"/>
              </w:rPr>
            </w:pPr>
          </w:p>
        </w:tc>
        <w:tc>
          <w:tcPr>
            <w:tcW w:w="1948" w:type="dxa"/>
            <w:shd w:val="clear" w:color="auto" w:fill="auto"/>
          </w:tcPr>
          <w:p w14:paraId="1CABCA6C"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Reference (MW)</w:t>
            </w:r>
          </w:p>
        </w:tc>
        <w:tc>
          <w:tcPr>
            <w:tcW w:w="1726" w:type="dxa"/>
            <w:shd w:val="clear" w:color="auto" w:fill="auto"/>
          </w:tcPr>
          <w:p w14:paraId="05815A85" w14:textId="31F651F7" w:rsidR="00B525DE" w:rsidRPr="009C75E1" w:rsidRDefault="00B525DE" w:rsidP="00B525DE">
            <w:pPr>
              <w:keepNext/>
              <w:keepLines/>
              <w:jc w:val="center"/>
              <w:rPr>
                <w:rFonts w:ascii="Arial" w:hAnsi="Arial" w:cs="Arial"/>
                <w:sz w:val="20"/>
                <w:szCs w:val="20"/>
              </w:rPr>
            </w:pPr>
            <w:r>
              <w:rPr>
                <w:rFonts w:ascii="Arial" w:hAnsi="Arial" w:cs="Arial"/>
                <w:sz w:val="20"/>
                <w:szCs w:val="20"/>
              </w:rPr>
              <w:t>3.2</w:t>
            </w:r>
          </w:p>
        </w:tc>
        <w:tc>
          <w:tcPr>
            <w:tcW w:w="1727" w:type="dxa"/>
            <w:shd w:val="clear" w:color="auto" w:fill="auto"/>
          </w:tcPr>
          <w:p w14:paraId="4E7A4628" w14:textId="1C7A99A8" w:rsidR="00B525DE" w:rsidRPr="009C75E1" w:rsidRDefault="00B525DE" w:rsidP="00B525DE">
            <w:pPr>
              <w:keepNext/>
              <w:keepLines/>
              <w:jc w:val="center"/>
              <w:rPr>
                <w:rFonts w:ascii="Arial" w:hAnsi="Arial" w:cs="Arial"/>
                <w:sz w:val="20"/>
                <w:szCs w:val="20"/>
              </w:rPr>
            </w:pPr>
            <w:r>
              <w:rPr>
                <w:rFonts w:ascii="Arial" w:hAnsi="Arial" w:cs="Arial"/>
                <w:sz w:val="20"/>
                <w:szCs w:val="20"/>
              </w:rPr>
              <w:t>4.0</w:t>
            </w:r>
          </w:p>
        </w:tc>
      </w:tr>
      <w:tr w:rsidR="00B525DE" w14:paraId="05908AF6" w14:textId="77777777" w:rsidTr="0071083D">
        <w:trPr>
          <w:jc w:val="center"/>
        </w:trPr>
        <w:tc>
          <w:tcPr>
            <w:tcW w:w="1503" w:type="dxa"/>
            <w:vMerge/>
            <w:shd w:val="clear" w:color="auto" w:fill="auto"/>
            <w:vAlign w:val="center"/>
          </w:tcPr>
          <w:p w14:paraId="5922EE29" w14:textId="77777777" w:rsidR="00B525DE" w:rsidRPr="009C75E1" w:rsidRDefault="00B525DE" w:rsidP="00B525DE">
            <w:pPr>
              <w:keepNext/>
              <w:keepLines/>
              <w:rPr>
                <w:rFonts w:ascii="Arial" w:hAnsi="Arial" w:cs="Arial"/>
                <w:sz w:val="20"/>
                <w:szCs w:val="20"/>
              </w:rPr>
            </w:pPr>
          </w:p>
        </w:tc>
        <w:tc>
          <w:tcPr>
            <w:tcW w:w="1948" w:type="dxa"/>
            <w:shd w:val="clear" w:color="auto" w:fill="auto"/>
          </w:tcPr>
          <w:p w14:paraId="2C1771AA"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Load Impact (MW)</w:t>
            </w:r>
          </w:p>
        </w:tc>
        <w:tc>
          <w:tcPr>
            <w:tcW w:w="1726" w:type="dxa"/>
            <w:shd w:val="clear" w:color="auto" w:fill="auto"/>
          </w:tcPr>
          <w:p w14:paraId="1A704746" w14:textId="51B34A92" w:rsidR="00B525DE" w:rsidRPr="009C75E1" w:rsidRDefault="00B525DE" w:rsidP="00B525DE">
            <w:pPr>
              <w:keepNext/>
              <w:keepLines/>
              <w:jc w:val="center"/>
              <w:rPr>
                <w:rFonts w:ascii="Arial" w:hAnsi="Arial" w:cs="Arial"/>
                <w:sz w:val="20"/>
                <w:szCs w:val="20"/>
              </w:rPr>
            </w:pPr>
            <w:r>
              <w:rPr>
                <w:rFonts w:ascii="Arial" w:hAnsi="Arial" w:cs="Arial"/>
                <w:sz w:val="20"/>
                <w:szCs w:val="20"/>
              </w:rPr>
              <w:t>1.7</w:t>
            </w:r>
          </w:p>
        </w:tc>
        <w:tc>
          <w:tcPr>
            <w:tcW w:w="1727" w:type="dxa"/>
            <w:shd w:val="clear" w:color="auto" w:fill="auto"/>
          </w:tcPr>
          <w:p w14:paraId="606B0AF7" w14:textId="1E3FC38E" w:rsidR="00B525DE" w:rsidRPr="009C75E1" w:rsidRDefault="00B525DE" w:rsidP="00B525DE">
            <w:pPr>
              <w:keepNext/>
              <w:keepLines/>
              <w:jc w:val="center"/>
              <w:rPr>
                <w:rFonts w:ascii="Arial" w:hAnsi="Arial" w:cs="Arial"/>
                <w:sz w:val="20"/>
                <w:szCs w:val="20"/>
              </w:rPr>
            </w:pPr>
            <w:r>
              <w:rPr>
                <w:rFonts w:ascii="Arial" w:hAnsi="Arial" w:cs="Arial"/>
                <w:sz w:val="20"/>
                <w:szCs w:val="20"/>
              </w:rPr>
              <w:t>2.0</w:t>
            </w:r>
          </w:p>
        </w:tc>
      </w:tr>
      <w:tr w:rsidR="00B525DE" w14:paraId="65C500F2" w14:textId="77777777" w:rsidTr="0071083D">
        <w:trPr>
          <w:jc w:val="center"/>
        </w:trPr>
        <w:tc>
          <w:tcPr>
            <w:tcW w:w="1503" w:type="dxa"/>
            <w:vMerge w:val="restart"/>
            <w:shd w:val="clear" w:color="auto" w:fill="auto"/>
            <w:vAlign w:val="center"/>
          </w:tcPr>
          <w:p w14:paraId="152FC20E" w14:textId="77777777" w:rsidR="00B525DE" w:rsidRPr="009C75E1" w:rsidRDefault="00B525DE" w:rsidP="00B525DE">
            <w:pPr>
              <w:keepNext/>
              <w:keepLines/>
              <w:rPr>
                <w:rFonts w:ascii="Arial" w:hAnsi="Arial" w:cs="Arial"/>
                <w:b/>
                <w:sz w:val="20"/>
                <w:szCs w:val="20"/>
              </w:rPr>
            </w:pPr>
            <w:r w:rsidRPr="009C75E1">
              <w:rPr>
                <w:rFonts w:ascii="Arial" w:hAnsi="Arial" w:cs="Arial"/>
                <w:b/>
                <w:sz w:val="20"/>
                <w:szCs w:val="20"/>
              </w:rPr>
              <w:t>Per SAID</w:t>
            </w:r>
          </w:p>
        </w:tc>
        <w:tc>
          <w:tcPr>
            <w:tcW w:w="1948" w:type="dxa"/>
            <w:shd w:val="clear" w:color="auto" w:fill="auto"/>
          </w:tcPr>
          <w:p w14:paraId="64345FE3"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Reference (kW)</w:t>
            </w:r>
          </w:p>
        </w:tc>
        <w:tc>
          <w:tcPr>
            <w:tcW w:w="1726" w:type="dxa"/>
            <w:shd w:val="clear" w:color="auto" w:fill="auto"/>
          </w:tcPr>
          <w:p w14:paraId="484F6846" w14:textId="664094B5" w:rsidR="00B525DE" w:rsidRPr="009C75E1" w:rsidRDefault="00B525DE" w:rsidP="00B525DE">
            <w:pPr>
              <w:keepNext/>
              <w:keepLines/>
              <w:jc w:val="center"/>
              <w:rPr>
                <w:rFonts w:ascii="Arial" w:hAnsi="Arial" w:cs="Arial"/>
                <w:sz w:val="20"/>
                <w:szCs w:val="20"/>
              </w:rPr>
            </w:pPr>
            <w:r>
              <w:rPr>
                <w:rFonts w:ascii="Arial" w:hAnsi="Arial" w:cs="Arial"/>
                <w:sz w:val="20"/>
                <w:szCs w:val="20"/>
              </w:rPr>
              <w:t>450</w:t>
            </w:r>
          </w:p>
        </w:tc>
        <w:tc>
          <w:tcPr>
            <w:tcW w:w="1727" w:type="dxa"/>
            <w:shd w:val="clear" w:color="auto" w:fill="auto"/>
          </w:tcPr>
          <w:p w14:paraId="296012FB" w14:textId="53F5275C" w:rsidR="00B525DE" w:rsidRPr="009C75E1" w:rsidRDefault="00B525DE" w:rsidP="00B525DE">
            <w:pPr>
              <w:keepNext/>
              <w:keepLines/>
              <w:jc w:val="center"/>
              <w:rPr>
                <w:rFonts w:ascii="Arial" w:hAnsi="Arial" w:cs="Arial"/>
                <w:sz w:val="20"/>
                <w:szCs w:val="20"/>
              </w:rPr>
            </w:pPr>
            <w:r>
              <w:rPr>
                <w:rFonts w:ascii="Arial" w:hAnsi="Arial" w:cs="Arial"/>
                <w:sz w:val="20"/>
                <w:szCs w:val="20"/>
              </w:rPr>
              <w:t>575</w:t>
            </w:r>
          </w:p>
        </w:tc>
      </w:tr>
      <w:tr w:rsidR="00B525DE" w14:paraId="312C0CA7" w14:textId="77777777" w:rsidTr="0071083D">
        <w:trPr>
          <w:jc w:val="center"/>
        </w:trPr>
        <w:tc>
          <w:tcPr>
            <w:tcW w:w="1503" w:type="dxa"/>
            <w:vMerge/>
            <w:shd w:val="clear" w:color="auto" w:fill="auto"/>
          </w:tcPr>
          <w:p w14:paraId="51C234FB" w14:textId="77777777" w:rsidR="00B525DE" w:rsidRPr="009C75E1" w:rsidRDefault="00B525DE" w:rsidP="00B525DE">
            <w:pPr>
              <w:keepNext/>
              <w:keepLines/>
              <w:rPr>
                <w:rFonts w:ascii="Arial" w:hAnsi="Arial" w:cs="Arial"/>
                <w:sz w:val="20"/>
                <w:szCs w:val="20"/>
              </w:rPr>
            </w:pPr>
          </w:p>
        </w:tc>
        <w:tc>
          <w:tcPr>
            <w:tcW w:w="1948" w:type="dxa"/>
            <w:shd w:val="clear" w:color="auto" w:fill="auto"/>
          </w:tcPr>
          <w:p w14:paraId="22775EB2"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Load Impact (kW)</w:t>
            </w:r>
          </w:p>
        </w:tc>
        <w:tc>
          <w:tcPr>
            <w:tcW w:w="1726" w:type="dxa"/>
            <w:shd w:val="clear" w:color="auto" w:fill="auto"/>
          </w:tcPr>
          <w:p w14:paraId="5878A083" w14:textId="5695E381" w:rsidR="00B525DE" w:rsidRPr="009C75E1" w:rsidRDefault="00B525DE" w:rsidP="00B525DE">
            <w:pPr>
              <w:keepNext/>
              <w:keepLines/>
              <w:jc w:val="center"/>
              <w:rPr>
                <w:rFonts w:ascii="Arial" w:hAnsi="Arial" w:cs="Arial"/>
                <w:sz w:val="20"/>
                <w:szCs w:val="20"/>
              </w:rPr>
            </w:pPr>
            <w:r>
              <w:rPr>
                <w:rFonts w:ascii="Arial" w:hAnsi="Arial" w:cs="Arial"/>
                <w:sz w:val="20"/>
                <w:szCs w:val="20"/>
              </w:rPr>
              <w:t>236</w:t>
            </w:r>
          </w:p>
        </w:tc>
        <w:tc>
          <w:tcPr>
            <w:tcW w:w="1727" w:type="dxa"/>
            <w:shd w:val="clear" w:color="auto" w:fill="auto"/>
          </w:tcPr>
          <w:p w14:paraId="26B2B73B" w14:textId="6BE61EDE" w:rsidR="00B525DE" w:rsidRPr="009C75E1" w:rsidRDefault="00B525DE" w:rsidP="00B525DE">
            <w:pPr>
              <w:keepNext/>
              <w:keepLines/>
              <w:jc w:val="center"/>
              <w:rPr>
                <w:rFonts w:ascii="Arial" w:hAnsi="Arial" w:cs="Arial"/>
                <w:sz w:val="20"/>
                <w:szCs w:val="20"/>
              </w:rPr>
            </w:pPr>
            <w:r>
              <w:rPr>
                <w:rFonts w:ascii="Arial" w:hAnsi="Arial" w:cs="Arial"/>
                <w:sz w:val="20"/>
                <w:szCs w:val="20"/>
              </w:rPr>
              <w:t>288</w:t>
            </w:r>
          </w:p>
        </w:tc>
      </w:tr>
      <w:tr w:rsidR="00B525DE" w14:paraId="5C388796" w14:textId="77777777" w:rsidTr="0071083D">
        <w:trPr>
          <w:jc w:val="center"/>
        </w:trPr>
        <w:tc>
          <w:tcPr>
            <w:tcW w:w="1503" w:type="dxa"/>
            <w:vMerge/>
            <w:shd w:val="clear" w:color="auto" w:fill="auto"/>
          </w:tcPr>
          <w:p w14:paraId="01EE41AE" w14:textId="77777777" w:rsidR="00B525DE" w:rsidRPr="009C75E1" w:rsidRDefault="00B525DE" w:rsidP="00B525DE">
            <w:pPr>
              <w:keepNext/>
              <w:keepLines/>
              <w:rPr>
                <w:rFonts w:ascii="Arial" w:hAnsi="Arial" w:cs="Arial"/>
                <w:sz w:val="20"/>
                <w:szCs w:val="20"/>
              </w:rPr>
            </w:pPr>
          </w:p>
        </w:tc>
        <w:tc>
          <w:tcPr>
            <w:tcW w:w="1948" w:type="dxa"/>
            <w:shd w:val="clear" w:color="auto" w:fill="auto"/>
          </w:tcPr>
          <w:p w14:paraId="2C5A6FFA"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 Load Impact</w:t>
            </w:r>
          </w:p>
        </w:tc>
        <w:tc>
          <w:tcPr>
            <w:tcW w:w="1726" w:type="dxa"/>
            <w:shd w:val="clear" w:color="auto" w:fill="auto"/>
          </w:tcPr>
          <w:p w14:paraId="24869367" w14:textId="4F45C073" w:rsidR="00B525DE" w:rsidRPr="009C75E1" w:rsidRDefault="00B525DE" w:rsidP="00B525DE">
            <w:pPr>
              <w:keepNext/>
              <w:keepLines/>
              <w:jc w:val="center"/>
              <w:rPr>
                <w:rFonts w:ascii="Arial" w:hAnsi="Arial" w:cs="Arial"/>
                <w:sz w:val="20"/>
                <w:szCs w:val="20"/>
              </w:rPr>
            </w:pPr>
            <w:r>
              <w:rPr>
                <w:rFonts w:ascii="Arial" w:hAnsi="Arial" w:cs="Arial"/>
                <w:sz w:val="20"/>
                <w:szCs w:val="20"/>
              </w:rPr>
              <w:t>52.4%</w:t>
            </w:r>
          </w:p>
        </w:tc>
        <w:tc>
          <w:tcPr>
            <w:tcW w:w="1727" w:type="dxa"/>
            <w:shd w:val="clear" w:color="auto" w:fill="auto"/>
          </w:tcPr>
          <w:p w14:paraId="59D1AF22" w14:textId="5771B8BC" w:rsidR="00B525DE" w:rsidRPr="009C75E1" w:rsidRDefault="00B525DE" w:rsidP="00B525DE">
            <w:pPr>
              <w:keepNext/>
              <w:keepLines/>
              <w:jc w:val="center"/>
              <w:rPr>
                <w:rFonts w:ascii="Arial" w:hAnsi="Arial" w:cs="Arial"/>
                <w:sz w:val="20"/>
                <w:szCs w:val="20"/>
              </w:rPr>
            </w:pPr>
            <w:r>
              <w:rPr>
                <w:rFonts w:ascii="Arial" w:hAnsi="Arial" w:cs="Arial"/>
                <w:sz w:val="20"/>
                <w:szCs w:val="20"/>
              </w:rPr>
              <w:t>50.1%</w:t>
            </w:r>
          </w:p>
        </w:tc>
      </w:tr>
    </w:tbl>
    <w:p w14:paraId="03281A0C" w14:textId="77777777" w:rsidR="0022673D" w:rsidRDefault="0022673D" w:rsidP="00DA4753"/>
    <w:p w14:paraId="23DFBCDB" w14:textId="77777777" w:rsidR="00DA4753" w:rsidRDefault="00DA4753" w:rsidP="00DA4753">
      <w:pPr>
        <w:pStyle w:val="Heading3"/>
      </w:pPr>
      <w:bookmarkStart w:id="241" w:name="_Toc383597963"/>
      <w:bookmarkStart w:id="242" w:name="_Toc415488987"/>
      <w:r>
        <w:t>6.3.2 Previous versus current ex ante</w:t>
      </w:r>
      <w:bookmarkEnd w:id="241"/>
      <w:bookmarkEnd w:id="242"/>
    </w:p>
    <w:p w14:paraId="595CD1EF" w14:textId="5300381B" w:rsidR="00DA4753" w:rsidRDefault="00DA4753" w:rsidP="00DA4753">
      <w:r>
        <w:t>In this sub-section, we compare the ex ante forecast prepared following PY 2013 (the “previous study”) to the ex ante forecast contained in this study (the “current study”). Table 6.1</w:t>
      </w:r>
      <w:r w:rsidR="00372CA5">
        <w:t>2</w:t>
      </w:r>
      <w:r>
        <w:t xml:space="preserve"> presents this comparison for the ex ante forecasts of the utility-specific 1-in-2 August peak day. </w:t>
      </w:r>
      <w:r w:rsidR="00E70197">
        <w:t>Reference loads, load impacts, and percentage load impacts are all slightly lower in the current ex ante forecast. These likely reflect differences in customer usage levels across PY2013 and PY2014. The relationship between event-day loads and the FSL is similar across the two years, in that the program load is above the FSL early in the event window but below the FSL for the latter portion of the event.</w:t>
      </w:r>
    </w:p>
    <w:p w14:paraId="58EE9663" w14:textId="77777777" w:rsidR="00DA4753" w:rsidRDefault="00DA4753" w:rsidP="00DA4753"/>
    <w:p w14:paraId="540C48A1" w14:textId="0E4F408A" w:rsidR="00DA4753" w:rsidRDefault="00DA4753" w:rsidP="00DA4753">
      <w:pPr>
        <w:pStyle w:val="TableCaption"/>
        <w:keepNext/>
        <w:keepLines/>
        <w:rPr>
          <w:i/>
        </w:rPr>
      </w:pPr>
      <w:bookmarkStart w:id="243" w:name="_Toc383598026"/>
      <w:bookmarkStart w:id="244" w:name="_Toc415489036"/>
      <w:r w:rsidRPr="00376F46">
        <w:t xml:space="preserve">Table </w:t>
      </w:r>
      <w:r>
        <w:t>6</w:t>
      </w:r>
      <w:r w:rsidRPr="00376F46">
        <w:t>.</w:t>
      </w:r>
      <w:r>
        <w:t>1</w:t>
      </w:r>
      <w:r w:rsidR="00372CA5">
        <w:t>2</w:t>
      </w:r>
      <w:r w:rsidRPr="00376F46">
        <w:t xml:space="preserve">: Comparison of </w:t>
      </w:r>
      <w:r>
        <w:t xml:space="preserve">Ex Ante </w:t>
      </w:r>
      <w:r w:rsidRPr="00376F46">
        <w:t xml:space="preserve">Impacts </w:t>
      </w:r>
      <w:r>
        <w:t xml:space="preserve">from </w:t>
      </w:r>
      <w:r w:rsidRPr="00376F46">
        <w:t>PY 201</w:t>
      </w:r>
      <w:r>
        <w:t>3 and</w:t>
      </w:r>
      <w:r w:rsidRPr="00376F46">
        <w:t xml:space="preserve"> PY 201</w:t>
      </w:r>
      <w:r>
        <w:t>4 Studies</w:t>
      </w:r>
      <w:r w:rsidRPr="00376F46">
        <w:t xml:space="preserve">, </w:t>
      </w:r>
      <w:r>
        <w:rPr>
          <w:i/>
        </w:rPr>
        <w:t>SDG&amp;</w:t>
      </w:r>
      <w:r w:rsidRPr="00376F46">
        <w:rPr>
          <w:i/>
        </w:rPr>
        <w:t>E</w:t>
      </w:r>
      <w:bookmarkEnd w:id="243"/>
      <w:bookmarkEnd w:id="24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980"/>
        <w:gridCol w:w="1476"/>
        <w:gridCol w:w="1404"/>
      </w:tblGrid>
      <w:tr w:rsidR="00EB76B2" w14:paraId="078E72D1" w14:textId="77777777" w:rsidTr="00173834">
        <w:trPr>
          <w:jc w:val="center"/>
        </w:trPr>
        <w:tc>
          <w:tcPr>
            <w:tcW w:w="1188" w:type="dxa"/>
            <w:shd w:val="clear" w:color="auto" w:fill="D9E2F3"/>
            <w:vAlign w:val="center"/>
          </w:tcPr>
          <w:p w14:paraId="0408E4AC" w14:textId="4808BE1F" w:rsidR="00EB76B2" w:rsidRPr="009C75E1" w:rsidRDefault="00EB76B2" w:rsidP="00EB76B2">
            <w:pPr>
              <w:keepNext/>
              <w:keepLines/>
              <w:jc w:val="center"/>
              <w:rPr>
                <w:rFonts w:ascii="Arial" w:hAnsi="Arial" w:cs="Arial"/>
                <w:b/>
                <w:sz w:val="20"/>
                <w:szCs w:val="20"/>
              </w:rPr>
            </w:pPr>
            <w:r w:rsidRPr="009C75E1">
              <w:rPr>
                <w:rFonts w:ascii="Arial" w:hAnsi="Arial" w:cs="Arial"/>
                <w:b/>
                <w:sz w:val="20"/>
                <w:szCs w:val="20"/>
              </w:rPr>
              <w:t>Level</w:t>
            </w:r>
          </w:p>
        </w:tc>
        <w:tc>
          <w:tcPr>
            <w:tcW w:w="1980" w:type="dxa"/>
            <w:shd w:val="clear" w:color="auto" w:fill="D9E2F3"/>
            <w:vAlign w:val="center"/>
          </w:tcPr>
          <w:p w14:paraId="64393F1F" w14:textId="12728A33" w:rsidR="00EB76B2" w:rsidRPr="009C75E1" w:rsidRDefault="00EB76B2" w:rsidP="00EB76B2">
            <w:pPr>
              <w:keepNext/>
              <w:keepLines/>
              <w:jc w:val="center"/>
              <w:rPr>
                <w:rFonts w:ascii="Arial" w:hAnsi="Arial" w:cs="Arial"/>
                <w:b/>
                <w:sz w:val="20"/>
                <w:szCs w:val="20"/>
              </w:rPr>
            </w:pPr>
            <w:r w:rsidRPr="009C75E1">
              <w:rPr>
                <w:rFonts w:ascii="Arial" w:hAnsi="Arial" w:cs="Arial"/>
                <w:b/>
                <w:sz w:val="20"/>
                <w:szCs w:val="20"/>
              </w:rPr>
              <w:t>Outcome</w:t>
            </w:r>
          </w:p>
        </w:tc>
        <w:tc>
          <w:tcPr>
            <w:tcW w:w="1476" w:type="dxa"/>
            <w:shd w:val="clear" w:color="auto" w:fill="D9E2F3"/>
            <w:vAlign w:val="center"/>
          </w:tcPr>
          <w:p w14:paraId="033781A6" w14:textId="77777777" w:rsidR="00EB76B2" w:rsidRPr="009C75E1" w:rsidRDefault="00EB76B2" w:rsidP="00EB76B2">
            <w:pPr>
              <w:keepNext/>
              <w:keepLines/>
              <w:jc w:val="center"/>
              <w:rPr>
                <w:rFonts w:ascii="Arial" w:hAnsi="Arial" w:cs="Arial"/>
                <w:b/>
                <w:sz w:val="20"/>
                <w:szCs w:val="20"/>
              </w:rPr>
            </w:pPr>
          </w:p>
          <w:p w14:paraId="03757AAD" w14:textId="77777777" w:rsidR="00EB76B2" w:rsidRPr="009C75E1" w:rsidRDefault="00EB76B2" w:rsidP="00EB76B2">
            <w:pPr>
              <w:keepNext/>
              <w:keepLines/>
              <w:jc w:val="center"/>
              <w:rPr>
                <w:rFonts w:ascii="Arial" w:hAnsi="Arial" w:cs="Arial"/>
                <w:b/>
                <w:sz w:val="20"/>
                <w:szCs w:val="20"/>
              </w:rPr>
            </w:pPr>
            <w:r w:rsidRPr="009C75E1">
              <w:rPr>
                <w:rFonts w:ascii="Arial" w:hAnsi="Arial" w:cs="Arial"/>
                <w:b/>
                <w:sz w:val="20"/>
                <w:szCs w:val="20"/>
              </w:rPr>
              <w:t>Previous</w:t>
            </w:r>
            <w:r>
              <w:rPr>
                <w:rFonts w:ascii="Arial" w:hAnsi="Arial" w:cs="Arial"/>
                <w:b/>
                <w:sz w:val="20"/>
                <w:szCs w:val="20"/>
              </w:rPr>
              <w:t xml:space="preserve"> Study 2015</w:t>
            </w:r>
          </w:p>
          <w:p w14:paraId="4CEFE942" w14:textId="77777777" w:rsidR="00EB76B2" w:rsidRPr="009C75E1" w:rsidRDefault="00EB76B2" w:rsidP="00EB76B2">
            <w:pPr>
              <w:keepNext/>
              <w:keepLines/>
              <w:jc w:val="center"/>
              <w:rPr>
                <w:rFonts w:ascii="Arial" w:hAnsi="Arial" w:cs="Arial"/>
                <w:b/>
                <w:sz w:val="20"/>
                <w:szCs w:val="20"/>
              </w:rPr>
            </w:pPr>
          </w:p>
        </w:tc>
        <w:tc>
          <w:tcPr>
            <w:tcW w:w="1404" w:type="dxa"/>
            <w:shd w:val="clear" w:color="auto" w:fill="D9E2F3"/>
            <w:vAlign w:val="center"/>
          </w:tcPr>
          <w:p w14:paraId="2AD47278" w14:textId="77777777" w:rsidR="00EB76B2" w:rsidRPr="009C75E1" w:rsidRDefault="00EB76B2" w:rsidP="00EB76B2">
            <w:pPr>
              <w:keepNext/>
              <w:keepLines/>
              <w:jc w:val="center"/>
              <w:rPr>
                <w:rFonts w:ascii="Arial" w:hAnsi="Arial" w:cs="Arial"/>
                <w:b/>
                <w:sz w:val="20"/>
                <w:szCs w:val="20"/>
              </w:rPr>
            </w:pPr>
            <w:r w:rsidRPr="009C75E1">
              <w:rPr>
                <w:rFonts w:ascii="Arial" w:hAnsi="Arial" w:cs="Arial"/>
                <w:b/>
                <w:sz w:val="20"/>
                <w:szCs w:val="20"/>
              </w:rPr>
              <w:t>Current</w:t>
            </w:r>
            <w:r>
              <w:rPr>
                <w:rFonts w:ascii="Arial" w:hAnsi="Arial" w:cs="Arial"/>
                <w:b/>
                <w:sz w:val="20"/>
                <w:szCs w:val="20"/>
              </w:rPr>
              <w:t xml:space="preserve"> Study</w:t>
            </w:r>
            <w:r w:rsidRPr="009C75E1">
              <w:rPr>
                <w:rFonts w:ascii="Arial" w:hAnsi="Arial" w:cs="Arial"/>
                <w:b/>
                <w:sz w:val="20"/>
                <w:szCs w:val="20"/>
              </w:rPr>
              <w:t xml:space="preserve"> 201</w:t>
            </w:r>
            <w:r>
              <w:rPr>
                <w:rFonts w:ascii="Arial" w:hAnsi="Arial" w:cs="Arial"/>
                <w:b/>
                <w:sz w:val="20"/>
                <w:szCs w:val="20"/>
              </w:rPr>
              <w:t>5</w:t>
            </w:r>
          </w:p>
        </w:tc>
      </w:tr>
      <w:tr w:rsidR="00DB7D4B" w14:paraId="5A1318E2" w14:textId="77777777" w:rsidTr="00173834">
        <w:trPr>
          <w:jc w:val="center"/>
        </w:trPr>
        <w:tc>
          <w:tcPr>
            <w:tcW w:w="1188" w:type="dxa"/>
            <w:vMerge w:val="restart"/>
            <w:shd w:val="clear" w:color="auto" w:fill="auto"/>
            <w:vAlign w:val="center"/>
          </w:tcPr>
          <w:p w14:paraId="7ED76DE6" w14:textId="77777777" w:rsidR="00DB7D4B" w:rsidRPr="009C75E1" w:rsidRDefault="00DB7D4B" w:rsidP="00DB7D4B">
            <w:pPr>
              <w:keepNext/>
              <w:keepLines/>
              <w:rPr>
                <w:rFonts w:ascii="Arial" w:hAnsi="Arial" w:cs="Arial"/>
                <w:b/>
                <w:sz w:val="20"/>
                <w:szCs w:val="20"/>
              </w:rPr>
            </w:pPr>
            <w:r w:rsidRPr="009C75E1">
              <w:rPr>
                <w:rFonts w:ascii="Arial" w:hAnsi="Arial" w:cs="Arial"/>
                <w:b/>
                <w:sz w:val="20"/>
                <w:szCs w:val="20"/>
              </w:rPr>
              <w:t>Total</w:t>
            </w:r>
          </w:p>
        </w:tc>
        <w:tc>
          <w:tcPr>
            <w:tcW w:w="1980" w:type="dxa"/>
            <w:shd w:val="clear" w:color="auto" w:fill="auto"/>
          </w:tcPr>
          <w:p w14:paraId="29A016AE" w14:textId="77777777" w:rsidR="00DB7D4B" w:rsidRPr="009C75E1" w:rsidRDefault="00DB7D4B" w:rsidP="00DB7D4B">
            <w:pPr>
              <w:keepNext/>
              <w:keepLines/>
              <w:rPr>
                <w:rFonts w:ascii="Arial" w:hAnsi="Arial" w:cs="Arial"/>
                <w:sz w:val="20"/>
                <w:szCs w:val="20"/>
              </w:rPr>
            </w:pPr>
            <w:r w:rsidRPr="009C75E1">
              <w:rPr>
                <w:rFonts w:ascii="Arial" w:hAnsi="Arial" w:cs="Arial"/>
                <w:sz w:val="20"/>
                <w:szCs w:val="20"/>
              </w:rPr>
              <w:t># SAIDs</w:t>
            </w:r>
          </w:p>
        </w:tc>
        <w:tc>
          <w:tcPr>
            <w:tcW w:w="1476" w:type="dxa"/>
            <w:shd w:val="clear" w:color="auto" w:fill="auto"/>
          </w:tcPr>
          <w:p w14:paraId="7D92CA14" w14:textId="698E61E7" w:rsidR="00DB7D4B" w:rsidRPr="009C75E1" w:rsidRDefault="00DB7D4B" w:rsidP="00DB7D4B">
            <w:pPr>
              <w:keepNext/>
              <w:keepLines/>
              <w:jc w:val="center"/>
              <w:rPr>
                <w:rFonts w:ascii="Arial" w:hAnsi="Arial" w:cs="Arial"/>
                <w:sz w:val="20"/>
                <w:szCs w:val="20"/>
              </w:rPr>
            </w:pPr>
            <w:r>
              <w:rPr>
                <w:rFonts w:ascii="Arial" w:hAnsi="Arial" w:cs="Arial"/>
                <w:sz w:val="20"/>
                <w:szCs w:val="20"/>
              </w:rPr>
              <w:t>7</w:t>
            </w:r>
          </w:p>
        </w:tc>
        <w:tc>
          <w:tcPr>
            <w:tcW w:w="1404" w:type="dxa"/>
            <w:shd w:val="clear" w:color="auto" w:fill="auto"/>
          </w:tcPr>
          <w:p w14:paraId="035F5C4D" w14:textId="7DCFC971" w:rsidR="00DB7D4B" w:rsidRPr="009C75E1" w:rsidRDefault="00DB7D4B" w:rsidP="00DB7D4B">
            <w:pPr>
              <w:keepNext/>
              <w:keepLines/>
              <w:jc w:val="center"/>
              <w:rPr>
                <w:rFonts w:ascii="Arial" w:hAnsi="Arial" w:cs="Arial"/>
                <w:sz w:val="20"/>
                <w:szCs w:val="20"/>
              </w:rPr>
            </w:pPr>
            <w:r>
              <w:rPr>
                <w:rFonts w:ascii="Arial" w:hAnsi="Arial" w:cs="Arial"/>
                <w:sz w:val="20"/>
                <w:szCs w:val="20"/>
              </w:rPr>
              <w:t>7</w:t>
            </w:r>
          </w:p>
        </w:tc>
      </w:tr>
      <w:tr w:rsidR="00DB7D4B" w14:paraId="3C87226E" w14:textId="77777777" w:rsidTr="00173834">
        <w:trPr>
          <w:trHeight w:val="242"/>
          <w:jc w:val="center"/>
        </w:trPr>
        <w:tc>
          <w:tcPr>
            <w:tcW w:w="1188" w:type="dxa"/>
            <w:vMerge/>
            <w:shd w:val="clear" w:color="auto" w:fill="auto"/>
            <w:vAlign w:val="center"/>
          </w:tcPr>
          <w:p w14:paraId="29AE7D5B" w14:textId="77777777" w:rsidR="00DB7D4B" w:rsidRPr="009C75E1" w:rsidRDefault="00DB7D4B" w:rsidP="00DB7D4B">
            <w:pPr>
              <w:keepNext/>
              <w:keepLines/>
              <w:rPr>
                <w:rFonts w:ascii="Arial" w:hAnsi="Arial" w:cs="Arial"/>
                <w:sz w:val="20"/>
                <w:szCs w:val="20"/>
              </w:rPr>
            </w:pPr>
          </w:p>
        </w:tc>
        <w:tc>
          <w:tcPr>
            <w:tcW w:w="1980" w:type="dxa"/>
            <w:shd w:val="clear" w:color="auto" w:fill="auto"/>
          </w:tcPr>
          <w:p w14:paraId="260BCB13" w14:textId="77777777" w:rsidR="00DB7D4B" w:rsidRPr="009C75E1" w:rsidRDefault="00DB7D4B" w:rsidP="00DB7D4B">
            <w:pPr>
              <w:keepNext/>
              <w:keepLines/>
              <w:rPr>
                <w:rFonts w:ascii="Arial" w:hAnsi="Arial" w:cs="Arial"/>
                <w:sz w:val="20"/>
                <w:szCs w:val="20"/>
              </w:rPr>
            </w:pPr>
            <w:r w:rsidRPr="009C75E1">
              <w:rPr>
                <w:rFonts w:ascii="Arial" w:hAnsi="Arial" w:cs="Arial"/>
                <w:sz w:val="20"/>
                <w:szCs w:val="20"/>
              </w:rPr>
              <w:t>Reference (MW)</w:t>
            </w:r>
          </w:p>
        </w:tc>
        <w:tc>
          <w:tcPr>
            <w:tcW w:w="1476" w:type="dxa"/>
            <w:shd w:val="clear" w:color="auto" w:fill="auto"/>
          </w:tcPr>
          <w:p w14:paraId="2D7A6887" w14:textId="164ED295" w:rsidR="00DB7D4B" w:rsidRPr="009C75E1" w:rsidRDefault="00DB7D4B" w:rsidP="00DB7D4B">
            <w:pPr>
              <w:keepNext/>
              <w:keepLines/>
              <w:jc w:val="center"/>
              <w:rPr>
                <w:rFonts w:ascii="Arial" w:hAnsi="Arial" w:cs="Arial"/>
                <w:sz w:val="20"/>
                <w:szCs w:val="20"/>
              </w:rPr>
            </w:pPr>
            <w:r>
              <w:rPr>
                <w:rFonts w:ascii="Arial" w:hAnsi="Arial" w:cs="Arial"/>
                <w:sz w:val="20"/>
                <w:szCs w:val="20"/>
              </w:rPr>
              <w:t>3.4</w:t>
            </w:r>
          </w:p>
        </w:tc>
        <w:tc>
          <w:tcPr>
            <w:tcW w:w="1404" w:type="dxa"/>
            <w:shd w:val="clear" w:color="auto" w:fill="auto"/>
          </w:tcPr>
          <w:p w14:paraId="4C08C79A" w14:textId="276FEC9D" w:rsidR="00DB7D4B" w:rsidRPr="009C75E1" w:rsidRDefault="00DB7D4B" w:rsidP="00DB7D4B">
            <w:pPr>
              <w:keepNext/>
              <w:keepLines/>
              <w:jc w:val="center"/>
              <w:rPr>
                <w:rFonts w:ascii="Arial" w:hAnsi="Arial" w:cs="Arial"/>
                <w:sz w:val="20"/>
                <w:szCs w:val="20"/>
              </w:rPr>
            </w:pPr>
            <w:r>
              <w:rPr>
                <w:rFonts w:ascii="Arial" w:hAnsi="Arial" w:cs="Arial"/>
                <w:sz w:val="20"/>
                <w:szCs w:val="20"/>
              </w:rPr>
              <w:t>3.2</w:t>
            </w:r>
          </w:p>
        </w:tc>
      </w:tr>
      <w:tr w:rsidR="00DB7D4B" w14:paraId="3075FBFE" w14:textId="77777777" w:rsidTr="00173834">
        <w:trPr>
          <w:jc w:val="center"/>
        </w:trPr>
        <w:tc>
          <w:tcPr>
            <w:tcW w:w="1188" w:type="dxa"/>
            <w:vMerge/>
            <w:shd w:val="clear" w:color="auto" w:fill="auto"/>
            <w:vAlign w:val="center"/>
          </w:tcPr>
          <w:p w14:paraId="2740A46A" w14:textId="77777777" w:rsidR="00DB7D4B" w:rsidRPr="009C75E1" w:rsidRDefault="00DB7D4B" w:rsidP="00DB7D4B">
            <w:pPr>
              <w:keepNext/>
              <w:keepLines/>
              <w:rPr>
                <w:rFonts w:ascii="Arial" w:hAnsi="Arial" w:cs="Arial"/>
                <w:sz w:val="20"/>
                <w:szCs w:val="20"/>
              </w:rPr>
            </w:pPr>
          </w:p>
        </w:tc>
        <w:tc>
          <w:tcPr>
            <w:tcW w:w="1980" w:type="dxa"/>
            <w:shd w:val="clear" w:color="auto" w:fill="auto"/>
          </w:tcPr>
          <w:p w14:paraId="75F030CD" w14:textId="77777777" w:rsidR="00DB7D4B" w:rsidRPr="009C75E1" w:rsidRDefault="00DB7D4B" w:rsidP="00DB7D4B">
            <w:pPr>
              <w:keepNext/>
              <w:keepLines/>
              <w:rPr>
                <w:rFonts w:ascii="Arial" w:hAnsi="Arial" w:cs="Arial"/>
                <w:sz w:val="20"/>
                <w:szCs w:val="20"/>
              </w:rPr>
            </w:pPr>
            <w:r w:rsidRPr="009C75E1">
              <w:rPr>
                <w:rFonts w:ascii="Arial" w:hAnsi="Arial" w:cs="Arial"/>
                <w:sz w:val="20"/>
                <w:szCs w:val="20"/>
              </w:rPr>
              <w:t>Load Impact (MW)</w:t>
            </w:r>
          </w:p>
        </w:tc>
        <w:tc>
          <w:tcPr>
            <w:tcW w:w="1476" w:type="dxa"/>
            <w:shd w:val="clear" w:color="auto" w:fill="auto"/>
          </w:tcPr>
          <w:p w14:paraId="1A8D0E74" w14:textId="68F154AD" w:rsidR="00DB7D4B" w:rsidRPr="009C75E1" w:rsidRDefault="00DB7D4B" w:rsidP="00DB7D4B">
            <w:pPr>
              <w:keepNext/>
              <w:keepLines/>
              <w:jc w:val="center"/>
              <w:rPr>
                <w:rFonts w:ascii="Arial" w:hAnsi="Arial" w:cs="Arial"/>
                <w:sz w:val="20"/>
                <w:szCs w:val="20"/>
              </w:rPr>
            </w:pPr>
            <w:r>
              <w:rPr>
                <w:rFonts w:ascii="Arial" w:hAnsi="Arial" w:cs="Arial"/>
                <w:sz w:val="20"/>
                <w:szCs w:val="20"/>
              </w:rPr>
              <w:t>1.8</w:t>
            </w:r>
          </w:p>
        </w:tc>
        <w:tc>
          <w:tcPr>
            <w:tcW w:w="1404" w:type="dxa"/>
            <w:shd w:val="clear" w:color="auto" w:fill="auto"/>
          </w:tcPr>
          <w:p w14:paraId="307033DC" w14:textId="0BD5008E" w:rsidR="00DB7D4B" w:rsidRPr="009C75E1" w:rsidRDefault="00DB7D4B" w:rsidP="00DB7D4B">
            <w:pPr>
              <w:keepNext/>
              <w:keepLines/>
              <w:jc w:val="center"/>
              <w:rPr>
                <w:rFonts w:ascii="Arial" w:hAnsi="Arial" w:cs="Arial"/>
                <w:sz w:val="20"/>
                <w:szCs w:val="20"/>
              </w:rPr>
            </w:pPr>
            <w:r>
              <w:rPr>
                <w:rFonts w:ascii="Arial" w:hAnsi="Arial" w:cs="Arial"/>
                <w:sz w:val="20"/>
                <w:szCs w:val="20"/>
              </w:rPr>
              <w:t>1.4</w:t>
            </w:r>
          </w:p>
        </w:tc>
      </w:tr>
      <w:tr w:rsidR="00DB7D4B" w14:paraId="557F2169" w14:textId="77777777" w:rsidTr="00173834">
        <w:trPr>
          <w:jc w:val="center"/>
        </w:trPr>
        <w:tc>
          <w:tcPr>
            <w:tcW w:w="1188" w:type="dxa"/>
            <w:vMerge w:val="restart"/>
            <w:shd w:val="clear" w:color="auto" w:fill="auto"/>
            <w:vAlign w:val="center"/>
          </w:tcPr>
          <w:p w14:paraId="39510748" w14:textId="77777777" w:rsidR="00DB7D4B" w:rsidRPr="009C75E1" w:rsidRDefault="00DB7D4B" w:rsidP="00DB7D4B">
            <w:pPr>
              <w:keepNext/>
              <w:keepLines/>
              <w:rPr>
                <w:rFonts w:ascii="Arial" w:hAnsi="Arial" w:cs="Arial"/>
                <w:b/>
                <w:sz w:val="20"/>
                <w:szCs w:val="20"/>
              </w:rPr>
            </w:pPr>
            <w:r w:rsidRPr="009C75E1">
              <w:rPr>
                <w:rFonts w:ascii="Arial" w:hAnsi="Arial" w:cs="Arial"/>
                <w:b/>
                <w:sz w:val="20"/>
                <w:szCs w:val="20"/>
              </w:rPr>
              <w:t>Per SAID</w:t>
            </w:r>
          </w:p>
        </w:tc>
        <w:tc>
          <w:tcPr>
            <w:tcW w:w="1980" w:type="dxa"/>
            <w:shd w:val="clear" w:color="auto" w:fill="auto"/>
          </w:tcPr>
          <w:p w14:paraId="74911DFC" w14:textId="77777777" w:rsidR="00DB7D4B" w:rsidRPr="009C75E1" w:rsidRDefault="00DB7D4B" w:rsidP="00DB7D4B">
            <w:pPr>
              <w:keepNext/>
              <w:keepLines/>
              <w:rPr>
                <w:rFonts w:ascii="Arial" w:hAnsi="Arial" w:cs="Arial"/>
                <w:sz w:val="20"/>
                <w:szCs w:val="20"/>
              </w:rPr>
            </w:pPr>
            <w:r w:rsidRPr="009C75E1">
              <w:rPr>
                <w:rFonts w:ascii="Arial" w:hAnsi="Arial" w:cs="Arial"/>
                <w:sz w:val="20"/>
                <w:szCs w:val="20"/>
              </w:rPr>
              <w:t>Reference (kW)</w:t>
            </w:r>
          </w:p>
        </w:tc>
        <w:tc>
          <w:tcPr>
            <w:tcW w:w="1476" w:type="dxa"/>
            <w:shd w:val="clear" w:color="auto" w:fill="auto"/>
          </w:tcPr>
          <w:p w14:paraId="7E383BA9" w14:textId="0D4A53AE" w:rsidR="00DB7D4B" w:rsidRPr="009C75E1" w:rsidRDefault="00DB7D4B" w:rsidP="00DB7D4B">
            <w:pPr>
              <w:keepNext/>
              <w:keepLines/>
              <w:jc w:val="center"/>
              <w:rPr>
                <w:rFonts w:ascii="Arial" w:hAnsi="Arial" w:cs="Arial"/>
                <w:sz w:val="20"/>
                <w:szCs w:val="20"/>
              </w:rPr>
            </w:pPr>
            <w:r>
              <w:rPr>
                <w:rFonts w:ascii="Arial" w:hAnsi="Arial" w:cs="Arial"/>
                <w:sz w:val="20"/>
                <w:szCs w:val="20"/>
              </w:rPr>
              <w:t>484</w:t>
            </w:r>
          </w:p>
        </w:tc>
        <w:tc>
          <w:tcPr>
            <w:tcW w:w="1404" w:type="dxa"/>
            <w:shd w:val="clear" w:color="auto" w:fill="auto"/>
          </w:tcPr>
          <w:p w14:paraId="4E55D0FC" w14:textId="0582FFF0" w:rsidR="00DB7D4B" w:rsidRPr="009C75E1" w:rsidRDefault="00DB7D4B" w:rsidP="00DB7D4B">
            <w:pPr>
              <w:keepNext/>
              <w:keepLines/>
              <w:jc w:val="center"/>
              <w:rPr>
                <w:rFonts w:ascii="Arial" w:hAnsi="Arial" w:cs="Arial"/>
                <w:sz w:val="20"/>
                <w:szCs w:val="20"/>
              </w:rPr>
            </w:pPr>
            <w:r>
              <w:rPr>
                <w:rFonts w:ascii="Arial" w:hAnsi="Arial" w:cs="Arial"/>
                <w:sz w:val="20"/>
                <w:szCs w:val="20"/>
              </w:rPr>
              <w:t>458</w:t>
            </w:r>
          </w:p>
        </w:tc>
      </w:tr>
      <w:tr w:rsidR="00DB7D4B" w14:paraId="59BDE43E" w14:textId="77777777" w:rsidTr="00173834">
        <w:trPr>
          <w:jc w:val="center"/>
        </w:trPr>
        <w:tc>
          <w:tcPr>
            <w:tcW w:w="1188" w:type="dxa"/>
            <w:vMerge/>
            <w:shd w:val="clear" w:color="auto" w:fill="auto"/>
          </w:tcPr>
          <w:p w14:paraId="093193A9" w14:textId="77777777" w:rsidR="00DB7D4B" w:rsidRPr="009C75E1" w:rsidRDefault="00DB7D4B" w:rsidP="00DB7D4B">
            <w:pPr>
              <w:keepNext/>
              <w:keepLines/>
              <w:rPr>
                <w:rFonts w:ascii="Arial" w:hAnsi="Arial" w:cs="Arial"/>
                <w:sz w:val="20"/>
                <w:szCs w:val="20"/>
              </w:rPr>
            </w:pPr>
          </w:p>
        </w:tc>
        <w:tc>
          <w:tcPr>
            <w:tcW w:w="1980" w:type="dxa"/>
            <w:shd w:val="clear" w:color="auto" w:fill="auto"/>
          </w:tcPr>
          <w:p w14:paraId="4DFA7E0E" w14:textId="77777777" w:rsidR="00DB7D4B" w:rsidRPr="009C75E1" w:rsidRDefault="00DB7D4B" w:rsidP="00DB7D4B">
            <w:pPr>
              <w:keepNext/>
              <w:keepLines/>
              <w:rPr>
                <w:rFonts w:ascii="Arial" w:hAnsi="Arial" w:cs="Arial"/>
                <w:sz w:val="20"/>
                <w:szCs w:val="20"/>
              </w:rPr>
            </w:pPr>
            <w:r w:rsidRPr="009C75E1">
              <w:rPr>
                <w:rFonts w:ascii="Arial" w:hAnsi="Arial" w:cs="Arial"/>
                <w:sz w:val="20"/>
                <w:szCs w:val="20"/>
              </w:rPr>
              <w:t>Load Impact (kW)</w:t>
            </w:r>
          </w:p>
        </w:tc>
        <w:tc>
          <w:tcPr>
            <w:tcW w:w="1476" w:type="dxa"/>
            <w:shd w:val="clear" w:color="auto" w:fill="auto"/>
          </w:tcPr>
          <w:p w14:paraId="1DC2B9C0" w14:textId="77790416" w:rsidR="00DB7D4B" w:rsidRPr="009C75E1" w:rsidRDefault="00DB7D4B" w:rsidP="00DB7D4B">
            <w:pPr>
              <w:keepNext/>
              <w:keepLines/>
              <w:jc w:val="center"/>
              <w:rPr>
                <w:rFonts w:ascii="Arial" w:hAnsi="Arial" w:cs="Arial"/>
                <w:sz w:val="20"/>
                <w:szCs w:val="20"/>
              </w:rPr>
            </w:pPr>
            <w:r>
              <w:rPr>
                <w:rFonts w:ascii="Arial" w:hAnsi="Arial" w:cs="Arial"/>
                <w:sz w:val="20"/>
                <w:szCs w:val="20"/>
              </w:rPr>
              <w:t>262</w:t>
            </w:r>
          </w:p>
        </w:tc>
        <w:tc>
          <w:tcPr>
            <w:tcW w:w="1404" w:type="dxa"/>
            <w:shd w:val="clear" w:color="auto" w:fill="auto"/>
          </w:tcPr>
          <w:p w14:paraId="525CCC59" w14:textId="0DA13E15" w:rsidR="00DB7D4B" w:rsidRPr="009C75E1" w:rsidRDefault="00DB7D4B" w:rsidP="00DB7D4B">
            <w:pPr>
              <w:keepNext/>
              <w:keepLines/>
              <w:jc w:val="center"/>
              <w:rPr>
                <w:rFonts w:ascii="Arial" w:hAnsi="Arial" w:cs="Arial"/>
                <w:sz w:val="20"/>
                <w:szCs w:val="20"/>
              </w:rPr>
            </w:pPr>
            <w:r>
              <w:rPr>
                <w:rFonts w:ascii="Arial" w:hAnsi="Arial" w:cs="Arial"/>
                <w:sz w:val="20"/>
                <w:szCs w:val="20"/>
              </w:rPr>
              <w:t>205</w:t>
            </w:r>
          </w:p>
        </w:tc>
      </w:tr>
      <w:tr w:rsidR="00DB7D4B" w14:paraId="45C66E15" w14:textId="77777777" w:rsidTr="00173834">
        <w:trPr>
          <w:jc w:val="center"/>
        </w:trPr>
        <w:tc>
          <w:tcPr>
            <w:tcW w:w="1188" w:type="dxa"/>
            <w:vMerge/>
            <w:shd w:val="clear" w:color="auto" w:fill="auto"/>
          </w:tcPr>
          <w:p w14:paraId="64EA1462" w14:textId="77777777" w:rsidR="00DB7D4B" w:rsidRPr="009C75E1" w:rsidRDefault="00DB7D4B" w:rsidP="00DB7D4B">
            <w:pPr>
              <w:keepNext/>
              <w:keepLines/>
              <w:rPr>
                <w:rFonts w:ascii="Arial" w:hAnsi="Arial" w:cs="Arial"/>
                <w:sz w:val="20"/>
                <w:szCs w:val="20"/>
              </w:rPr>
            </w:pPr>
          </w:p>
        </w:tc>
        <w:tc>
          <w:tcPr>
            <w:tcW w:w="1980" w:type="dxa"/>
            <w:shd w:val="clear" w:color="auto" w:fill="auto"/>
          </w:tcPr>
          <w:p w14:paraId="031CE918" w14:textId="77777777" w:rsidR="00DB7D4B" w:rsidRPr="009C75E1" w:rsidRDefault="00DB7D4B" w:rsidP="00DB7D4B">
            <w:pPr>
              <w:keepNext/>
              <w:keepLines/>
              <w:rPr>
                <w:rFonts w:ascii="Arial" w:hAnsi="Arial" w:cs="Arial"/>
                <w:sz w:val="20"/>
                <w:szCs w:val="20"/>
              </w:rPr>
            </w:pPr>
            <w:r w:rsidRPr="009C75E1">
              <w:rPr>
                <w:rFonts w:ascii="Arial" w:hAnsi="Arial" w:cs="Arial"/>
                <w:sz w:val="20"/>
                <w:szCs w:val="20"/>
              </w:rPr>
              <w:t>% Load Impact</w:t>
            </w:r>
          </w:p>
        </w:tc>
        <w:tc>
          <w:tcPr>
            <w:tcW w:w="1476" w:type="dxa"/>
            <w:shd w:val="clear" w:color="auto" w:fill="auto"/>
          </w:tcPr>
          <w:p w14:paraId="0726EA01" w14:textId="789EC3F0" w:rsidR="00DB7D4B" w:rsidRPr="009C75E1" w:rsidRDefault="00DB7D4B" w:rsidP="00DB7D4B">
            <w:pPr>
              <w:keepNext/>
              <w:keepLines/>
              <w:jc w:val="center"/>
              <w:rPr>
                <w:rFonts w:ascii="Arial" w:hAnsi="Arial" w:cs="Arial"/>
                <w:sz w:val="20"/>
                <w:szCs w:val="20"/>
              </w:rPr>
            </w:pPr>
            <w:r>
              <w:rPr>
                <w:rFonts w:ascii="Arial" w:hAnsi="Arial" w:cs="Arial"/>
                <w:sz w:val="20"/>
                <w:szCs w:val="20"/>
              </w:rPr>
              <w:t>54.1%</w:t>
            </w:r>
          </w:p>
        </w:tc>
        <w:tc>
          <w:tcPr>
            <w:tcW w:w="1404" w:type="dxa"/>
            <w:shd w:val="clear" w:color="auto" w:fill="auto"/>
          </w:tcPr>
          <w:p w14:paraId="7AEBE940" w14:textId="7DD75F53" w:rsidR="00DB7D4B" w:rsidRPr="009C75E1" w:rsidRDefault="00DB7D4B" w:rsidP="00DB7D4B">
            <w:pPr>
              <w:keepNext/>
              <w:keepLines/>
              <w:jc w:val="center"/>
              <w:rPr>
                <w:rFonts w:ascii="Arial" w:hAnsi="Arial" w:cs="Arial"/>
                <w:sz w:val="20"/>
                <w:szCs w:val="20"/>
              </w:rPr>
            </w:pPr>
            <w:r>
              <w:rPr>
                <w:rFonts w:ascii="Arial" w:hAnsi="Arial" w:cs="Arial"/>
                <w:sz w:val="20"/>
                <w:szCs w:val="20"/>
              </w:rPr>
              <w:t>44.8%</w:t>
            </w:r>
          </w:p>
        </w:tc>
      </w:tr>
    </w:tbl>
    <w:p w14:paraId="6879F192" w14:textId="77777777" w:rsidR="00EB76B2" w:rsidRDefault="00EB76B2" w:rsidP="00EB76B2"/>
    <w:p w14:paraId="5DC8620A" w14:textId="77777777" w:rsidR="00DA4753" w:rsidRPr="00A11E7E" w:rsidRDefault="00DA4753" w:rsidP="00DA4753">
      <w:pPr>
        <w:pStyle w:val="Heading3"/>
      </w:pPr>
      <w:bookmarkStart w:id="245" w:name="_Toc383597964"/>
      <w:bookmarkStart w:id="246" w:name="_Toc415488988"/>
      <w:r w:rsidRPr="00A11E7E">
        <w:t>6.3.3 Previous ex ante versus current ex post</w:t>
      </w:r>
      <w:bookmarkEnd w:id="245"/>
      <w:bookmarkEnd w:id="246"/>
    </w:p>
    <w:p w14:paraId="35B4B842" w14:textId="6CA1A71F" w:rsidR="00DA4753" w:rsidRDefault="00DA4753" w:rsidP="00DA4753">
      <w:r>
        <w:t xml:space="preserve">Table </w:t>
      </w:r>
      <w:r w:rsidRPr="00CC435E">
        <w:t>6.1</w:t>
      </w:r>
      <w:r w:rsidR="00372CA5">
        <w:t>3</w:t>
      </w:r>
      <w:r w:rsidRPr="00CC435E">
        <w:t xml:space="preserve"> compares</w:t>
      </w:r>
      <w:r>
        <w:t xml:space="preserve"> the ex ante forecast prepared following PY2013 to the PY2014 ex post load impact estimates contained in this report. </w:t>
      </w:r>
      <w:r w:rsidR="0071083D">
        <w:t>The ex ante load impacts are based on the typical event day in a utility-specific 1-in-2 weather year. The ex post load impacts are based on the May 1</w:t>
      </w:r>
      <w:r w:rsidR="00823F31">
        <w:t>6</w:t>
      </w:r>
      <w:r w:rsidR="0071083D">
        <w:t>, 2014 event day.</w:t>
      </w:r>
      <w:r w:rsidR="00073710">
        <w:t xml:space="preserve"> The ex post reference loads and load impacts are somewhat higher than the ex ante forecast, though the percentage load impacts are quite similar.</w:t>
      </w:r>
    </w:p>
    <w:p w14:paraId="710D8302" w14:textId="77777777" w:rsidR="00DA4753" w:rsidRDefault="00DA4753" w:rsidP="00DA4753"/>
    <w:p w14:paraId="2E67C50F" w14:textId="70F26A54" w:rsidR="00DA4753" w:rsidRDefault="00DA4753" w:rsidP="00DA4753">
      <w:pPr>
        <w:pStyle w:val="TableCaption"/>
        <w:keepNext/>
        <w:keepLines/>
        <w:rPr>
          <w:i/>
        </w:rPr>
      </w:pPr>
      <w:bookmarkStart w:id="247" w:name="_Toc415489037"/>
      <w:r w:rsidRPr="00CC435E">
        <w:t>Table 6.1</w:t>
      </w:r>
      <w:r w:rsidR="00372CA5">
        <w:t>3</w:t>
      </w:r>
      <w:r w:rsidRPr="00376F46">
        <w:t xml:space="preserve">: Comparison of </w:t>
      </w:r>
      <w:r>
        <w:t xml:space="preserve">Previous Ex Ante and Current Ex Post </w:t>
      </w:r>
      <w:r w:rsidRPr="00376F46">
        <w:t xml:space="preserve">Impacts, </w:t>
      </w:r>
      <w:r>
        <w:rPr>
          <w:i/>
        </w:rPr>
        <w:t>SD</w:t>
      </w:r>
      <w:r w:rsidRPr="00376F46">
        <w:rPr>
          <w:i/>
        </w:rPr>
        <w:t>G&amp;E</w:t>
      </w:r>
      <w:bookmarkEnd w:id="24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994"/>
        <w:gridCol w:w="1771"/>
        <w:gridCol w:w="1772"/>
      </w:tblGrid>
      <w:tr w:rsidR="0071083D" w14:paraId="574A37D6" w14:textId="77777777" w:rsidTr="0071083D">
        <w:trPr>
          <w:jc w:val="center"/>
        </w:trPr>
        <w:tc>
          <w:tcPr>
            <w:tcW w:w="1548" w:type="dxa"/>
            <w:shd w:val="clear" w:color="auto" w:fill="D9E2F3"/>
            <w:vAlign w:val="center"/>
          </w:tcPr>
          <w:p w14:paraId="28735DE9" w14:textId="77777777" w:rsidR="0071083D" w:rsidRPr="009C75E1" w:rsidRDefault="0071083D" w:rsidP="0071083D">
            <w:pPr>
              <w:keepNext/>
              <w:keepLines/>
              <w:jc w:val="center"/>
              <w:rPr>
                <w:rFonts w:ascii="Arial" w:hAnsi="Arial" w:cs="Arial"/>
                <w:b/>
                <w:sz w:val="20"/>
                <w:szCs w:val="20"/>
              </w:rPr>
            </w:pPr>
            <w:r w:rsidRPr="009C75E1">
              <w:rPr>
                <w:rFonts w:ascii="Arial" w:hAnsi="Arial" w:cs="Arial"/>
                <w:b/>
                <w:sz w:val="20"/>
                <w:szCs w:val="20"/>
              </w:rPr>
              <w:t>Level</w:t>
            </w:r>
          </w:p>
        </w:tc>
        <w:tc>
          <w:tcPr>
            <w:tcW w:w="1994" w:type="dxa"/>
            <w:shd w:val="clear" w:color="auto" w:fill="D9E2F3"/>
            <w:vAlign w:val="center"/>
          </w:tcPr>
          <w:p w14:paraId="6CE670C9" w14:textId="77777777" w:rsidR="0071083D" w:rsidRPr="009C75E1" w:rsidRDefault="0071083D" w:rsidP="0071083D">
            <w:pPr>
              <w:keepNext/>
              <w:keepLines/>
              <w:jc w:val="center"/>
              <w:rPr>
                <w:rFonts w:ascii="Arial" w:hAnsi="Arial" w:cs="Arial"/>
                <w:b/>
                <w:sz w:val="20"/>
                <w:szCs w:val="20"/>
              </w:rPr>
            </w:pPr>
            <w:r w:rsidRPr="009C75E1">
              <w:rPr>
                <w:rFonts w:ascii="Arial" w:hAnsi="Arial" w:cs="Arial"/>
                <w:b/>
                <w:sz w:val="20"/>
                <w:szCs w:val="20"/>
              </w:rPr>
              <w:t>Outcome</w:t>
            </w:r>
          </w:p>
        </w:tc>
        <w:tc>
          <w:tcPr>
            <w:tcW w:w="1771" w:type="dxa"/>
            <w:shd w:val="clear" w:color="auto" w:fill="D9E2F3"/>
            <w:vAlign w:val="center"/>
          </w:tcPr>
          <w:p w14:paraId="5F81B140" w14:textId="77777777" w:rsidR="0071083D" w:rsidRPr="009C75E1" w:rsidRDefault="0071083D" w:rsidP="0071083D">
            <w:pPr>
              <w:keepNext/>
              <w:keepLines/>
              <w:jc w:val="center"/>
              <w:rPr>
                <w:rFonts w:ascii="Arial" w:hAnsi="Arial" w:cs="Arial"/>
                <w:b/>
                <w:sz w:val="20"/>
                <w:szCs w:val="20"/>
              </w:rPr>
            </w:pPr>
          </w:p>
          <w:p w14:paraId="0D79C330" w14:textId="77777777" w:rsidR="0071083D" w:rsidRPr="009C75E1" w:rsidRDefault="0071083D" w:rsidP="0071083D">
            <w:pPr>
              <w:keepNext/>
              <w:keepLines/>
              <w:jc w:val="center"/>
              <w:rPr>
                <w:rFonts w:ascii="Arial" w:hAnsi="Arial" w:cs="Arial"/>
                <w:b/>
                <w:sz w:val="20"/>
                <w:szCs w:val="20"/>
              </w:rPr>
            </w:pPr>
            <w:r>
              <w:rPr>
                <w:rFonts w:ascii="Arial" w:hAnsi="Arial" w:cs="Arial"/>
                <w:b/>
                <w:sz w:val="20"/>
                <w:szCs w:val="20"/>
              </w:rPr>
              <w:t>Ex Ante for TED in PY2014, following PY2013 Study</w:t>
            </w:r>
          </w:p>
          <w:p w14:paraId="1341C13C" w14:textId="77777777" w:rsidR="0071083D" w:rsidRPr="009C75E1" w:rsidRDefault="0071083D" w:rsidP="0071083D">
            <w:pPr>
              <w:keepNext/>
              <w:keepLines/>
              <w:jc w:val="center"/>
              <w:rPr>
                <w:rFonts w:ascii="Arial" w:hAnsi="Arial" w:cs="Arial"/>
                <w:b/>
                <w:sz w:val="20"/>
                <w:szCs w:val="20"/>
              </w:rPr>
            </w:pPr>
          </w:p>
        </w:tc>
        <w:tc>
          <w:tcPr>
            <w:tcW w:w="1772" w:type="dxa"/>
            <w:shd w:val="clear" w:color="auto" w:fill="D9E2F3"/>
            <w:vAlign w:val="center"/>
          </w:tcPr>
          <w:p w14:paraId="5C9EE87F" w14:textId="77777777" w:rsidR="0071083D" w:rsidRPr="009C75E1" w:rsidRDefault="0071083D" w:rsidP="0071083D">
            <w:pPr>
              <w:keepNext/>
              <w:keepLines/>
              <w:jc w:val="center"/>
              <w:rPr>
                <w:rFonts w:ascii="Arial" w:hAnsi="Arial" w:cs="Arial"/>
                <w:b/>
                <w:sz w:val="20"/>
                <w:szCs w:val="20"/>
              </w:rPr>
            </w:pPr>
            <w:r>
              <w:rPr>
                <w:rFonts w:ascii="Arial" w:hAnsi="Arial" w:cs="Arial"/>
                <w:b/>
                <w:sz w:val="20"/>
                <w:szCs w:val="20"/>
              </w:rPr>
              <w:t>Ex Post Average Event Day, PY2014</w:t>
            </w:r>
          </w:p>
        </w:tc>
      </w:tr>
      <w:tr w:rsidR="00B525DE" w14:paraId="77AAC323" w14:textId="77777777" w:rsidTr="0071083D">
        <w:trPr>
          <w:jc w:val="center"/>
        </w:trPr>
        <w:tc>
          <w:tcPr>
            <w:tcW w:w="1548" w:type="dxa"/>
            <w:vMerge w:val="restart"/>
            <w:shd w:val="clear" w:color="auto" w:fill="auto"/>
            <w:vAlign w:val="center"/>
          </w:tcPr>
          <w:p w14:paraId="554CF591" w14:textId="77777777" w:rsidR="00B525DE" w:rsidRPr="009C75E1" w:rsidRDefault="00B525DE" w:rsidP="00B525DE">
            <w:pPr>
              <w:keepNext/>
              <w:keepLines/>
              <w:rPr>
                <w:rFonts w:ascii="Arial" w:hAnsi="Arial" w:cs="Arial"/>
                <w:b/>
                <w:sz w:val="20"/>
                <w:szCs w:val="20"/>
              </w:rPr>
            </w:pPr>
            <w:r w:rsidRPr="009C75E1">
              <w:rPr>
                <w:rFonts w:ascii="Arial" w:hAnsi="Arial" w:cs="Arial"/>
                <w:b/>
                <w:sz w:val="20"/>
                <w:szCs w:val="20"/>
              </w:rPr>
              <w:t>Total</w:t>
            </w:r>
          </w:p>
        </w:tc>
        <w:tc>
          <w:tcPr>
            <w:tcW w:w="1994" w:type="dxa"/>
            <w:shd w:val="clear" w:color="auto" w:fill="auto"/>
          </w:tcPr>
          <w:p w14:paraId="047599F1"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 SAIDs</w:t>
            </w:r>
          </w:p>
        </w:tc>
        <w:tc>
          <w:tcPr>
            <w:tcW w:w="1771" w:type="dxa"/>
            <w:shd w:val="clear" w:color="auto" w:fill="auto"/>
          </w:tcPr>
          <w:p w14:paraId="2E9F52FF" w14:textId="3CFF0611" w:rsidR="00B525DE" w:rsidRPr="009C75E1" w:rsidRDefault="00B525DE" w:rsidP="00B525DE">
            <w:pPr>
              <w:keepNext/>
              <w:keepLines/>
              <w:jc w:val="center"/>
              <w:rPr>
                <w:rFonts w:ascii="Arial" w:hAnsi="Arial" w:cs="Arial"/>
                <w:sz w:val="20"/>
                <w:szCs w:val="20"/>
              </w:rPr>
            </w:pPr>
            <w:r>
              <w:rPr>
                <w:rFonts w:ascii="Arial" w:hAnsi="Arial" w:cs="Arial"/>
                <w:sz w:val="20"/>
                <w:szCs w:val="20"/>
              </w:rPr>
              <w:t>7</w:t>
            </w:r>
          </w:p>
        </w:tc>
        <w:tc>
          <w:tcPr>
            <w:tcW w:w="1772" w:type="dxa"/>
            <w:shd w:val="clear" w:color="auto" w:fill="auto"/>
          </w:tcPr>
          <w:p w14:paraId="313FCD11" w14:textId="1B87E369" w:rsidR="00B525DE" w:rsidRPr="009C75E1" w:rsidRDefault="00B525DE" w:rsidP="00B525DE">
            <w:pPr>
              <w:keepNext/>
              <w:keepLines/>
              <w:jc w:val="center"/>
              <w:rPr>
                <w:rFonts w:ascii="Arial" w:hAnsi="Arial" w:cs="Arial"/>
                <w:sz w:val="20"/>
                <w:szCs w:val="20"/>
              </w:rPr>
            </w:pPr>
            <w:r>
              <w:rPr>
                <w:rFonts w:ascii="Arial" w:hAnsi="Arial" w:cs="Arial"/>
                <w:sz w:val="20"/>
                <w:szCs w:val="20"/>
              </w:rPr>
              <w:t>7</w:t>
            </w:r>
          </w:p>
        </w:tc>
      </w:tr>
      <w:tr w:rsidR="00B525DE" w14:paraId="7B512CCE" w14:textId="77777777" w:rsidTr="0071083D">
        <w:trPr>
          <w:trHeight w:val="242"/>
          <w:jc w:val="center"/>
        </w:trPr>
        <w:tc>
          <w:tcPr>
            <w:tcW w:w="1548" w:type="dxa"/>
            <w:vMerge/>
            <w:shd w:val="clear" w:color="auto" w:fill="auto"/>
            <w:vAlign w:val="center"/>
          </w:tcPr>
          <w:p w14:paraId="6D0D1E3B" w14:textId="77777777" w:rsidR="00B525DE" w:rsidRPr="009C75E1" w:rsidRDefault="00B525DE" w:rsidP="00B525DE">
            <w:pPr>
              <w:keepNext/>
              <w:keepLines/>
              <w:rPr>
                <w:rFonts w:ascii="Arial" w:hAnsi="Arial" w:cs="Arial"/>
                <w:sz w:val="20"/>
                <w:szCs w:val="20"/>
              </w:rPr>
            </w:pPr>
          </w:p>
        </w:tc>
        <w:tc>
          <w:tcPr>
            <w:tcW w:w="1994" w:type="dxa"/>
            <w:shd w:val="clear" w:color="auto" w:fill="auto"/>
          </w:tcPr>
          <w:p w14:paraId="2B4DBBD7"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Reference (MW)</w:t>
            </w:r>
          </w:p>
        </w:tc>
        <w:tc>
          <w:tcPr>
            <w:tcW w:w="1771" w:type="dxa"/>
            <w:shd w:val="clear" w:color="auto" w:fill="auto"/>
          </w:tcPr>
          <w:p w14:paraId="602BEB10" w14:textId="45703242" w:rsidR="00B525DE" w:rsidRPr="009C75E1" w:rsidRDefault="00B525DE" w:rsidP="00B525DE">
            <w:pPr>
              <w:keepNext/>
              <w:keepLines/>
              <w:jc w:val="center"/>
              <w:rPr>
                <w:rFonts w:ascii="Arial" w:hAnsi="Arial" w:cs="Arial"/>
                <w:sz w:val="20"/>
                <w:szCs w:val="20"/>
              </w:rPr>
            </w:pPr>
            <w:r>
              <w:rPr>
                <w:rFonts w:ascii="Arial" w:hAnsi="Arial" w:cs="Arial"/>
                <w:sz w:val="20"/>
                <w:szCs w:val="20"/>
              </w:rPr>
              <w:t>3.4</w:t>
            </w:r>
          </w:p>
        </w:tc>
        <w:tc>
          <w:tcPr>
            <w:tcW w:w="1772" w:type="dxa"/>
            <w:shd w:val="clear" w:color="auto" w:fill="auto"/>
          </w:tcPr>
          <w:p w14:paraId="0FE5BB5A" w14:textId="7A3573B0" w:rsidR="00B525DE" w:rsidRPr="009C75E1" w:rsidRDefault="00B525DE" w:rsidP="00B525DE">
            <w:pPr>
              <w:keepNext/>
              <w:keepLines/>
              <w:jc w:val="center"/>
              <w:rPr>
                <w:rFonts w:ascii="Arial" w:hAnsi="Arial" w:cs="Arial"/>
                <w:sz w:val="20"/>
                <w:szCs w:val="20"/>
              </w:rPr>
            </w:pPr>
            <w:r>
              <w:rPr>
                <w:rFonts w:ascii="Arial" w:hAnsi="Arial" w:cs="Arial"/>
                <w:sz w:val="20"/>
                <w:szCs w:val="20"/>
              </w:rPr>
              <w:t>4.0</w:t>
            </w:r>
          </w:p>
        </w:tc>
      </w:tr>
      <w:tr w:rsidR="00B525DE" w14:paraId="5D3C1B9A" w14:textId="77777777" w:rsidTr="0071083D">
        <w:trPr>
          <w:jc w:val="center"/>
        </w:trPr>
        <w:tc>
          <w:tcPr>
            <w:tcW w:w="1548" w:type="dxa"/>
            <w:vMerge/>
            <w:shd w:val="clear" w:color="auto" w:fill="auto"/>
            <w:vAlign w:val="center"/>
          </w:tcPr>
          <w:p w14:paraId="7430D51E" w14:textId="77777777" w:rsidR="00B525DE" w:rsidRPr="009C75E1" w:rsidRDefault="00B525DE" w:rsidP="00B525DE">
            <w:pPr>
              <w:keepNext/>
              <w:keepLines/>
              <w:rPr>
                <w:rFonts w:ascii="Arial" w:hAnsi="Arial" w:cs="Arial"/>
                <w:sz w:val="20"/>
                <w:szCs w:val="20"/>
              </w:rPr>
            </w:pPr>
          </w:p>
        </w:tc>
        <w:tc>
          <w:tcPr>
            <w:tcW w:w="1994" w:type="dxa"/>
            <w:shd w:val="clear" w:color="auto" w:fill="auto"/>
          </w:tcPr>
          <w:p w14:paraId="106CCA86"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Load Impact (MW)</w:t>
            </w:r>
          </w:p>
        </w:tc>
        <w:tc>
          <w:tcPr>
            <w:tcW w:w="1771" w:type="dxa"/>
            <w:shd w:val="clear" w:color="auto" w:fill="auto"/>
          </w:tcPr>
          <w:p w14:paraId="38A23C70" w14:textId="7C44F90C" w:rsidR="00B525DE" w:rsidRPr="009C75E1" w:rsidRDefault="00B525DE" w:rsidP="00B525DE">
            <w:pPr>
              <w:keepNext/>
              <w:keepLines/>
              <w:jc w:val="center"/>
              <w:rPr>
                <w:rFonts w:ascii="Arial" w:hAnsi="Arial" w:cs="Arial"/>
                <w:sz w:val="20"/>
                <w:szCs w:val="20"/>
              </w:rPr>
            </w:pPr>
            <w:r>
              <w:rPr>
                <w:rFonts w:ascii="Arial" w:hAnsi="Arial" w:cs="Arial"/>
                <w:sz w:val="20"/>
                <w:szCs w:val="20"/>
              </w:rPr>
              <w:t>1.8</w:t>
            </w:r>
          </w:p>
        </w:tc>
        <w:tc>
          <w:tcPr>
            <w:tcW w:w="1772" w:type="dxa"/>
            <w:shd w:val="clear" w:color="auto" w:fill="auto"/>
          </w:tcPr>
          <w:p w14:paraId="42F572A6" w14:textId="08A95461" w:rsidR="00B525DE" w:rsidRPr="009C75E1" w:rsidRDefault="00B525DE" w:rsidP="00B525DE">
            <w:pPr>
              <w:keepNext/>
              <w:keepLines/>
              <w:jc w:val="center"/>
              <w:rPr>
                <w:rFonts w:ascii="Arial" w:hAnsi="Arial" w:cs="Arial"/>
                <w:sz w:val="20"/>
                <w:szCs w:val="20"/>
              </w:rPr>
            </w:pPr>
            <w:r>
              <w:rPr>
                <w:rFonts w:ascii="Arial" w:hAnsi="Arial" w:cs="Arial"/>
                <w:sz w:val="20"/>
                <w:szCs w:val="20"/>
              </w:rPr>
              <w:t>2.0</w:t>
            </w:r>
          </w:p>
        </w:tc>
      </w:tr>
      <w:tr w:rsidR="00B525DE" w14:paraId="1130CBED" w14:textId="77777777" w:rsidTr="0071083D">
        <w:trPr>
          <w:jc w:val="center"/>
        </w:trPr>
        <w:tc>
          <w:tcPr>
            <w:tcW w:w="1548" w:type="dxa"/>
            <w:vMerge w:val="restart"/>
            <w:shd w:val="clear" w:color="auto" w:fill="auto"/>
            <w:vAlign w:val="center"/>
          </w:tcPr>
          <w:p w14:paraId="65FBBFDB" w14:textId="77777777" w:rsidR="00B525DE" w:rsidRPr="009C75E1" w:rsidRDefault="00B525DE" w:rsidP="00B525DE">
            <w:pPr>
              <w:keepNext/>
              <w:keepLines/>
              <w:rPr>
                <w:rFonts w:ascii="Arial" w:hAnsi="Arial" w:cs="Arial"/>
                <w:b/>
                <w:sz w:val="20"/>
                <w:szCs w:val="20"/>
              </w:rPr>
            </w:pPr>
            <w:r w:rsidRPr="009C75E1">
              <w:rPr>
                <w:rFonts w:ascii="Arial" w:hAnsi="Arial" w:cs="Arial"/>
                <w:b/>
                <w:sz w:val="20"/>
                <w:szCs w:val="20"/>
              </w:rPr>
              <w:t>Per SAID</w:t>
            </w:r>
          </w:p>
        </w:tc>
        <w:tc>
          <w:tcPr>
            <w:tcW w:w="1994" w:type="dxa"/>
            <w:shd w:val="clear" w:color="auto" w:fill="auto"/>
          </w:tcPr>
          <w:p w14:paraId="05FC1765"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Reference (kW)</w:t>
            </w:r>
          </w:p>
        </w:tc>
        <w:tc>
          <w:tcPr>
            <w:tcW w:w="1771" w:type="dxa"/>
            <w:shd w:val="clear" w:color="auto" w:fill="auto"/>
          </w:tcPr>
          <w:p w14:paraId="331A2135" w14:textId="7D1330D9" w:rsidR="00B525DE" w:rsidRPr="009C75E1" w:rsidRDefault="00B525DE" w:rsidP="00B525DE">
            <w:pPr>
              <w:keepNext/>
              <w:keepLines/>
              <w:jc w:val="center"/>
              <w:rPr>
                <w:rFonts w:ascii="Arial" w:hAnsi="Arial" w:cs="Arial"/>
                <w:sz w:val="20"/>
                <w:szCs w:val="20"/>
              </w:rPr>
            </w:pPr>
            <w:r>
              <w:rPr>
                <w:rFonts w:ascii="Arial" w:hAnsi="Arial" w:cs="Arial"/>
                <w:sz w:val="20"/>
                <w:szCs w:val="20"/>
              </w:rPr>
              <w:t>484</w:t>
            </w:r>
          </w:p>
        </w:tc>
        <w:tc>
          <w:tcPr>
            <w:tcW w:w="1772" w:type="dxa"/>
            <w:shd w:val="clear" w:color="auto" w:fill="auto"/>
          </w:tcPr>
          <w:p w14:paraId="0C78CBD8" w14:textId="7AEBFE26" w:rsidR="00B525DE" w:rsidRPr="009C75E1" w:rsidRDefault="00B525DE" w:rsidP="00B525DE">
            <w:pPr>
              <w:keepNext/>
              <w:keepLines/>
              <w:jc w:val="center"/>
              <w:rPr>
                <w:rFonts w:ascii="Arial" w:hAnsi="Arial" w:cs="Arial"/>
                <w:sz w:val="20"/>
                <w:szCs w:val="20"/>
              </w:rPr>
            </w:pPr>
            <w:r>
              <w:rPr>
                <w:rFonts w:ascii="Arial" w:hAnsi="Arial" w:cs="Arial"/>
                <w:sz w:val="20"/>
                <w:szCs w:val="20"/>
              </w:rPr>
              <w:t>575</w:t>
            </w:r>
          </w:p>
        </w:tc>
      </w:tr>
      <w:tr w:rsidR="00B525DE" w14:paraId="24B79A51" w14:textId="77777777" w:rsidTr="0071083D">
        <w:trPr>
          <w:jc w:val="center"/>
        </w:trPr>
        <w:tc>
          <w:tcPr>
            <w:tcW w:w="1548" w:type="dxa"/>
            <w:vMerge/>
            <w:shd w:val="clear" w:color="auto" w:fill="auto"/>
          </w:tcPr>
          <w:p w14:paraId="180C0E41" w14:textId="77777777" w:rsidR="00B525DE" w:rsidRPr="009C75E1" w:rsidRDefault="00B525DE" w:rsidP="00B525DE">
            <w:pPr>
              <w:keepNext/>
              <w:keepLines/>
              <w:rPr>
                <w:rFonts w:ascii="Arial" w:hAnsi="Arial" w:cs="Arial"/>
                <w:sz w:val="20"/>
                <w:szCs w:val="20"/>
              </w:rPr>
            </w:pPr>
          </w:p>
        </w:tc>
        <w:tc>
          <w:tcPr>
            <w:tcW w:w="1994" w:type="dxa"/>
            <w:shd w:val="clear" w:color="auto" w:fill="auto"/>
          </w:tcPr>
          <w:p w14:paraId="218B8E36"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Load Impact (kW)</w:t>
            </w:r>
          </w:p>
        </w:tc>
        <w:tc>
          <w:tcPr>
            <w:tcW w:w="1771" w:type="dxa"/>
            <w:shd w:val="clear" w:color="auto" w:fill="auto"/>
          </w:tcPr>
          <w:p w14:paraId="01DB62BF" w14:textId="6445FFD2" w:rsidR="00B525DE" w:rsidRPr="009C75E1" w:rsidRDefault="00B525DE" w:rsidP="00B525DE">
            <w:pPr>
              <w:keepNext/>
              <w:keepLines/>
              <w:jc w:val="center"/>
              <w:rPr>
                <w:rFonts w:ascii="Arial" w:hAnsi="Arial" w:cs="Arial"/>
                <w:sz w:val="20"/>
                <w:szCs w:val="20"/>
              </w:rPr>
            </w:pPr>
            <w:r>
              <w:rPr>
                <w:rFonts w:ascii="Arial" w:hAnsi="Arial" w:cs="Arial"/>
                <w:sz w:val="20"/>
                <w:szCs w:val="20"/>
              </w:rPr>
              <w:t>262</w:t>
            </w:r>
          </w:p>
        </w:tc>
        <w:tc>
          <w:tcPr>
            <w:tcW w:w="1772" w:type="dxa"/>
            <w:shd w:val="clear" w:color="auto" w:fill="auto"/>
          </w:tcPr>
          <w:p w14:paraId="5867E48B" w14:textId="7702F73F" w:rsidR="00B525DE" w:rsidRPr="009C75E1" w:rsidRDefault="00B525DE" w:rsidP="00B525DE">
            <w:pPr>
              <w:keepNext/>
              <w:keepLines/>
              <w:jc w:val="center"/>
              <w:rPr>
                <w:rFonts w:ascii="Arial" w:hAnsi="Arial" w:cs="Arial"/>
                <w:sz w:val="20"/>
                <w:szCs w:val="20"/>
              </w:rPr>
            </w:pPr>
            <w:r>
              <w:rPr>
                <w:rFonts w:ascii="Arial" w:hAnsi="Arial" w:cs="Arial"/>
                <w:sz w:val="20"/>
                <w:szCs w:val="20"/>
              </w:rPr>
              <w:t>288</w:t>
            </w:r>
          </w:p>
        </w:tc>
      </w:tr>
      <w:tr w:rsidR="00B525DE" w14:paraId="7E238ED5" w14:textId="77777777" w:rsidTr="0071083D">
        <w:trPr>
          <w:jc w:val="center"/>
        </w:trPr>
        <w:tc>
          <w:tcPr>
            <w:tcW w:w="1548" w:type="dxa"/>
            <w:vMerge/>
            <w:shd w:val="clear" w:color="auto" w:fill="auto"/>
          </w:tcPr>
          <w:p w14:paraId="32A7DC89" w14:textId="77777777" w:rsidR="00B525DE" w:rsidRPr="009C75E1" w:rsidRDefault="00B525DE" w:rsidP="00B525DE">
            <w:pPr>
              <w:keepNext/>
              <w:keepLines/>
              <w:rPr>
                <w:rFonts w:ascii="Arial" w:hAnsi="Arial" w:cs="Arial"/>
                <w:sz w:val="20"/>
                <w:szCs w:val="20"/>
              </w:rPr>
            </w:pPr>
          </w:p>
        </w:tc>
        <w:tc>
          <w:tcPr>
            <w:tcW w:w="1994" w:type="dxa"/>
            <w:shd w:val="clear" w:color="auto" w:fill="auto"/>
          </w:tcPr>
          <w:p w14:paraId="6CC435B4" w14:textId="77777777" w:rsidR="00B525DE" w:rsidRPr="009C75E1" w:rsidRDefault="00B525DE" w:rsidP="00B525DE">
            <w:pPr>
              <w:keepNext/>
              <w:keepLines/>
              <w:rPr>
                <w:rFonts w:ascii="Arial" w:hAnsi="Arial" w:cs="Arial"/>
                <w:sz w:val="20"/>
                <w:szCs w:val="20"/>
              </w:rPr>
            </w:pPr>
            <w:r w:rsidRPr="009C75E1">
              <w:rPr>
                <w:rFonts w:ascii="Arial" w:hAnsi="Arial" w:cs="Arial"/>
                <w:sz w:val="20"/>
                <w:szCs w:val="20"/>
              </w:rPr>
              <w:t>% Load Impact</w:t>
            </w:r>
          </w:p>
        </w:tc>
        <w:tc>
          <w:tcPr>
            <w:tcW w:w="1771" w:type="dxa"/>
            <w:shd w:val="clear" w:color="auto" w:fill="auto"/>
          </w:tcPr>
          <w:p w14:paraId="3E4D3499" w14:textId="6C741964" w:rsidR="00B525DE" w:rsidRPr="009C75E1" w:rsidRDefault="00B525DE" w:rsidP="00B525DE">
            <w:pPr>
              <w:keepNext/>
              <w:keepLines/>
              <w:jc w:val="center"/>
              <w:rPr>
                <w:rFonts w:ascii="Arial" w:hAnsi="Arial" w:cs="Arial"/>
                <w:sz w:val="20"/>
                <w:szCs w:val="20"/>
              </w:rPr>
            </w:pPr>
            <w:r>
              <w:rPr>
                <w:rFonts w:ascii="Arial" w:hAnsi="Arial" w:cs="Arial"/>
                <w:sz w:val="20"/>
                <w:szCs w:val="20"/>
              </w:rPr>
              <w:t>54.1%</w:t>
            </w:r>
          </w:p>
        </w:tc>
        <w:tc>
          <w:tcPr>
            <w:tcW w:w="1772" w:type="dxa"/>
            <w:shd w:val="clear" w:color="auto" w:fill="auto"/>
          </w:tcPr>
          <w:p w14:paraId="32E7B550" w14:textId="309B2C51" w:rsidR="00B525DE" w:rsidRPr="009C75E1" w:rsidRDefault="00B525DE" w:rsidP="00B525DE">
            <w:pPr>
              <w:keepNext/>
              <w:keepLines/>
              <w:jc w:val="center"/>
              <w:rPr>
                <w:rFonts w:ascii="Arial" w:hAnsi="Arial" w:cs="Arial"/>
                <w:sz w:val="20"/>
                <w:szCs w:val="20"/>
              </w:rPr>
            </w:pPr>
            <w:r>
              <w:rPr>
                <w:rFonts w:ascii="Arial" w:hAnsi="Arial" w:cs="Arial"/>
                <w:sz w:val="20"/>
                <w:szCs w:val="20"/>
              </w:rPr>
              <w:t>50.1%</w:t>
            </w:r>
          </w:p>
        </w:tc>
      </w:tr>
    </w:tbl>
    <w:p w14:paraId="352B7A3D" w14:textId="77777777" w:rsidR="0071083D" w:rsidRDefault="0071083D" w:rsidP="0071083D"/>
    <w:p w14:paraId="70FAECDD" w14:textId="77777777" w:rsidR="00DA4753" w:rsidRPr="00A11E7E" w:rsidRDefault="00DA4753" w:rsidP="00DA4753">
      <w:pPr>
        <w:pStyle w:val="Heading3"/>
      </w:pPr>
      <w:bookmarkStart w:id="248" w:name="_Toc383597965"/>
      <w:bookmarkStart w:id="249" w:name="_Toc415488989"/>
      <w:r w:rsidRPr="00A11E7E">
        <w:t>6.3.4 Current ex post versus current ex ante</w:t>
      </w:r>
      <w:bookmarkEnd w:id="248"/>
      <w:bookmarkEnd w:id="249"/>
    </w:p>
    <w:p w14:paraId="655DBFA9" w14:textId="78AEA649" w:rsidR="00DA4753" w:rsidRDefault="00DA4753" w:rsidP="00DA4753">
      <w:r>
        <w:t>Table 6.1</w:t>
      </w:r>
      <w:r w:rsidR="00372CA5">
        <w:t>4</w:t>
      </w:r>
      <w:r>
        <w:t xml:space="preserve"> describes the factors that differ between the ex post and ex ante load impacts for SDG&amp;E. </w:t>
      </w:r>
      <w:r w:rsidR="006F6D54">
        <w:t xml:space="preserve">The ex ante forecast is based on the ex post achievement (i.e., observed loads) relative to the FSL during event hours. So in that way, the ex post and ex ante load impacts match. The key difference in the level (MW) and percentage load impacts is that the historical event occurred earlier in the day when program loads are high relative to the loads during the 1:00 to 4:00 p.m. ex ante event window. Therefore, the level of the ex ante load impacts is lower than the ex post load impacts. </w:t>
      </w:r>
    </w:p>
    <w:p w14:paraId="6284D8E6" w14:textId="77777777" w:rsidR="006F6D54" w:rsidRDefault="006F6D54" w:rsidP="00DA4753"/>
    <w:p w14:paraId="192041F5" w14:textId="09A83A64" w:rsidR="006F6D54" w:rsidRDefault="006F6D54" w:rsidP="00DA4753">
      <w:r>
        <w:t>Enrollments are not a factor because the customers enrolled during PY2014 are carried forward into the ex ante forecast. Weather is not a factor because the program reference load is not very weather sensitive.</w:t>
      </w:r>
    </w:p>
    <w:p w14:paraId="588EAD74" w14:textId="77777777" w:rsidR="00DA4753" w:rsidRDefault="00DA4753" w:rsidP="00DA4753"/>
    <w:p w14:paraId="74A12D07" w14:textId="0A5A45DB" w:rsidR="00DA4753" w:rsidRPr="00A11E7E" w:rsidRDefault="00DA4753" w:rsidP="00DA4753">
      <w:pPr>
        <w:pStyle w:val="TableCaption"/>
        <w:keepNext/>
        <w:keepLines/>
      </w:pPr>
      <w:bookmarkStart w:id="250" w:name="_Toc383598027"/>
      <w:bookmarkStart w:id="251" w:name="_Toc415489038"/>
      <w:r w:rsidRPr="00A11E7E">
        <w:lastRenderedPageBreak/>
        <w:t>Table 6.1</w:t>
      </w:r>
      <w:r w:rsidR="00372CA5" w:rsidRPr="00A11E7E">
        <w:t>4</w:t>
      </w:r>
      <w:r w:rsidRPr="00A11E7E">
        <w:t>: SDG&amp;E B</w:t>
      </w:r>
      <w:r w:rsidR="00E70197" w:rsidRPr="00A11E7E">
        <w:t>I</w:t>
      </w:r>
      <w:r w:rsidRPr="00A11E7E">
        <w:t>P Ex Post versus Ex Ante Factors</w:t>
      </w:r>
      <w:bookmarkEnd w:id="250"/>
      <w:r w:rsidR="00E70197" w:rsidRPr="00A11E7E">
        <w:t>, Typical Event Day</w:t>
      </w:r>
      <w:bookmarkEnd w:id="251"/>
    </w:p>
    <w:tbl>
      <w:tblPr>
        <w:tblW w:w="9452" w:type="dxa"/>
        <w:jc w:val="center"/>
        <w:tblLook w:val="04A0" w:firstRow="1" w:lastRow="0" w:firstColumn="1" w:lastColumn="0" w:noHBand="0" w:noVBand="1"/>
      </w:tblPr>
      <w:tblGrid>
        <w:gridCol w:w="1518"/>
        <w:gridCol w:w="3028"/>
        <w:gridCol w:w="2340"/>
        <w:gridCol w:w="2566"/>
      </w:tblGrid>
      <w:tr w:rsidR="00DA4753" w:rsidRPr="008E5D4C" w14:paraId="6B04EA8B" w14:textId="77777777" w:rsidTr="00DA4753">
        <w:trPr>
          <w:trHeight w:val="510"/>
          <w:jc w:val="center"/>
        </w:trPr>
        <w:tc>
          <w:tcPr>
            <w:tcW w:w="151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6496957" w14:textId="77777777" w:rsidR="00DA4753" w:rsidRPr="008E5D4C" w:rsidRDefault="00DA4753" w:rsidP="00DA4753">
            <w:pPr>
              <w:pStyle w:val="TableHeader"/>
              <w:keepNext/>
              <w:keepLines/>
              <w:rPr>
                <w:color w:val="auto"/>
                <w:szCs w:val="20"/>
              </w:rPr>
            </w:pPr>
            <w:r w:rsidRPr="008E5D4C">
              <w:rPr>
                <w:color w:val="auto"/>
                <w:szCs w:val="20"/>
              </w:rPr>
              <w:t>Factor</w:t>
            </w:r>
          </w:p>
        </w:tc>
        <w:tc>
          <w:tcPr>
            <w:tcW w:w="3028"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295B1BED" w14:textId="77777777" w:rsidR="00DA4753" w:rsidRPr="008E5D4C" w:rsidRDefault="00DA4753" w:rsidP="00DA4753">
            <w:pPr>
              <w:pStyle w:val="TableHeader"/>
              <w:keepNext/>
              <w:keepLines/>
              <w:rPr>
                <w:color w:val="auto"/>
                <w:szCs w:val="20"/>
              </w:rPr>
            </w:pPr>
            <w:r w:rsidRPr="008E5D4C">
              <w:rPr>
                <w:color w:val="auto"/>
                <w:szCs w:val="20"/>
              </w:rPr>
              <w:t>Ex Post</w:t>
            </w:r>
          </w:p>
        </w:tc>
        <w:tc>
          <w:tcPr>
            <w:tcW w:w="234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274B2D77" w14:textId="77777777" w:rsidR="00DA4753" w:rsidRPr="008E5D4C" w:rsidRDefault="00DA4753" w:rsidP="00DA4753">
            <w:pPr>
              <w:pStyle w:val="TableHeader"/>
              <w:keepNext/>
              <w:keepLines/>
              <w:rPr>
                <w:color w:val="auto"/>
                <w:szCs w:val="20"/>
              </w:rPr>
            </w:pPr>
            <w:r w:rsidRPr="008E5D4C">
              <w:rPr>
                <w:color w:val="auto"/>
                <w:szCs w:val="20"/>
              </w:rPr>
              <w:t>Ex Ante</w:t>
            </w:r>
          </w:p>
        </w:tc>
        <w:tc>
          <w:tcPr>
            <w:tcW w:w="2566"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0A1BE3F5" w14:textId="77777777" w:rsidR="00DA4753" w:rsidRPr="008E5D4C" w:rsidRDefault="00DA4753" w:rsidP="00DA4753">
            <w:pPr>
              <w:pStyle w:val="TableHeader"/>
              <w:keepNext/>
              <w:keepLines/>
              <w:rPr>
                <w:color w:val="auto"/>
                <w:szCs w:val="20"/>
              </w:rPr>
            </w:pPr>
            <w:r w:rsidRPr="008E5D4C">
              <w:rPr>
                <w:color w:val="auto"/>
                <w:szCs w:val="20"/>
              </w:rPr>
              <w:t>Expected Impact</w:t>
            </w:r>
          </w:p>
        </w:tc>
      </w:tr>
      <w:tr w:rsidR="00DA4753" w:rsidRPr="007F356D" w14:paraId="3EB2F7C2" w14:textId="77777777" w:rsidTr="00DA4753">
        <w:trPr>
          <w:trHeight w:val="300"/>
          <w:jc w:val="center"/>
        </w:trPr>
        <w:tc>
          <w:tcPr>
            <w:tcW w:w="1518" w:type="dxa"/>
            <w:tcBorders>
              <w:top w:val="single" w:sz="4" w:space="0" w:color="auto"/>
              <w:left w:val="single" w:sz="4" w:space="0" w:color="auto"/>
              <w:bottom w:val="single" w:sz="4" w:space="0" w:color="auto"/>
              <w:right w:val="single" w:sz="4" w:space="0" w:color="auto"/>
            </w:tcBorders>
            <w:shd w:val="clear" w:color="auto" w:fill="auto"/>
            <w:noWrap/>
            <w:hideMark/>
          </w:tcPr>
          <w:p w14:paraId="36A6CDB5" w14:textId="77777777" w:rsidR="00DA4753" w:rsidRPr="008E5D4C" w:rsidRDefault="00DA4753" w:rsidP="00DA4753">
            <w:pPr>
              <w:pStyle w:val="TableText"/>
              <w:keepNext/>
              <w:keepLines/>
              <w:jc w:val="left"/>
              <w:rPr>
                <w:sz w:val="20"/>
                <w:szCs w:val="20"/>
              </w:rPr>
            </w:pPr>
            <w:r w:rsidRPr="008E5D4C">
              <w:rPr>
                <w:sz w:val="20"/>
                <w:szCs w:val="20"/>
              </w:rPr>
              <w:t>Weather</w:t>
            </w:r>
          </w:p>
        </w:tc>
        <w:tc>
          <w:tcPr>
            <w:tcW w:w="3028" w:type="dxa"/>
            <w:tcBorders>
              <w:top w:val="single" w:sz="4" w:space="0" w:color="auto"/>
              <w:left w:val="nil"/>
              <w:bottom w:val="single" w:sz="4" w:space="0" w:color="auto"/>
              <w:right w:val="single" w:sz="4" w:space="0" w:color="auto"/>
            </w:tcBorders>
            <w:shd w:val="clear" w:color="auto" w:fill="auto"/>
            <w:noWrap/>
          </w:tcPr>
          <w:p w14:paraId="382E724B" w14:textId="4B1D2DB0" w:rsidR="00DA4753" w:rsidRPr="008E5D4C" w:rsidRDefault="00E70197" w:rsidP="00B525DE">
            <w:pPr>
              <w:pStyle w:val="TableText"/>
              <w:keepNext/>
              <w:keepLines/>
              <w:spacing w:after="120"/>
              <w:jc w:val="left"/>
              <w:rPr>
                <w:rFonts w:cs="Calibri"/>
                <w:sz w:val="20"/>
                <w:szCs w:val="20"/>
              </w:rPr>
            </w:pPr>
            <w:r>
              <w:rPr>
                <w:rFonts w:cs="Calibri"/>
                <w:sz w:val="20"/>
                <w:szCs w:val="20"/>
              </w:rPr>
              <w:t>89.</w:t>
            </w:r>
            <w:r w:rsidR="00B525DE">
              <w:rPr>
                <w:rFonts w:cs="Calibri"/>
                <w:sz w:val="20"/>
                <w:szCs w:val="20"/>
              </w:rPr>
              <w:t>6</w:t>
            </w:r>
            <w:r w:rsidR="00DA4753">
              <w:rPr>
                <w:rFonts w:cs="Calibri"/>
                <w:sz w:val="20"/>
                <w:szCs w:val="20"/>
              </w:rPr>
              <w:t xml:space="preserve"> degrees Fahrenheit during HE 1</w:t>
            </w:r>
            <w:r>
              <w:rPr>
                <w:rFonts w:cs="Calibri"/>
                <w:sz w:val="20"/>
                <w:szCs w:val="20"/>
              </w:rPr>
              <w:t>2</w:t>
            </w:r>
            <w:r w:rsidR="00DA4753">
              <w:rPr>
                <w:rFonts w:cs="Calibri"/>
                <w:sz w:val="20"/>
                <w:szCs w:val="20"/>
              </w:rPr>
              <w:t>-1</w:t>
            </w:r>
            <w:r w:rsidR="00B525DE">
              <w:rPr>
                <w:rFonts w:cs="Calibri"/>
                <w:sz w:val="20"/>
                <w:szCs w:val="20"/>
              </w:rPr>
              <w:t>4</w:t>
            </w:r>
            <w:r w:rsidR="00DA4753">
              <w:rPr>
                <w:rFonts w:cs="Calibri"/>
                <w:sz w:val="20"/>
                <w:szCs w:val="20"/>
              </w:rPr>
              <w:t xml:space="preserve"> on the </w:t>
            </w:r>
            <w:r>
              <w:rPr>
                <w:rFonts w:cs="Calibri"/>
                <w:sz w:val="20"/>
                <w:szCs w:val="20"/>
              </w:rPr>
              <w:t>May 16</w:t>
            </w:r>
            <w:r w:rsidRPr="00E70197">
              <w:rPr>
                <w:rFonts w:cs="Calibri"/>
                <w:sz w:val="20"/>
                <w:szCs w:val="20"/>
                <w:vertAlign w:val="superscript"/>
              </w:rPr>
              <w:t>th</w:t>
            </w:r>
            <w:r>
              <w:rPr>
                <w:rFonts w:cs="Calibri"/>
                <w:sz w:val="20"/>
                <w:szCs w:val="20"/>
              </w:rPr>
              <w:t xml:space="preserve"> </w:t>
            </w:r>
            <w:r w:rsidR="00DA4753">
              <w:rPr>
                <w:rFonts w:cs="Calibri"/>
                <w:sz w:val="20"/>
                <w:szCs w:val="20"/>
              </w:rPr>
              <w:t>event day</w:t>
            </w:r>
          </w:p>
        </w:tc>
        <w:tc>
          <w:tcPr>
            <w:tcW w:w="2340" w:type="dxa"/>
            <w:tcBorders>
              <w:top w:val="single" w:sz="4" w:space="0" w:color="auto"/>
              <w:left w:val="nil"/>
              <w:bottom w:val="single" w:sz="4" w:space="0" w:color="auto"/>
              <w:right w:val="single" w:sz="4" w:space="0" w:color="auto"/>
            </w:tcBorders>
            <w:shd w:val="clear" w:color="000000" w:fill="FFFFFF"/>
          </w:tcPr>
          <w:p w14:paraId="68E38368" w14:textId="0421DB79" w:rsidR="00DA4753" w:rsidRPr="008E5D4C" w:rsidRDefault="00DA4753" w:rsidP="00E70197">
            <w:pPr>
              <w:pStyle w:val="TableText"/>
              <w:keepNext/>
              <w:keepLines/>
              <w:jc w:val="left"/>
              <w:rPr>
                <w:sz w:val="20"/>
                <w:szCs w:val="20"/>
              </w:rPr>
            </w:pPr>
            <w:r>
              <w:rPr>
                <w:sz w:val="20"/>
                <w:szCs w:val="20"/>
              </w:rPr>
              <w:t>8</w:t>
            </w:r>
            <w:r w:rsidR="00E70197">
              <w:rPr>
                <w:sz w:val="20"/>
                <w:szCs w:val="20"/>
              </w:rPr>
              <w:t>0.0</w:t>
            </w:r>
            <w:r>
              <w:rPr>
                <w:rFonts w:cs="Calibri"/>
                <w:sz w:val="20"/>
                <w:szCs w:val="20"/>
              </w:rPr>
              <w:t xml:space="preserve"> degrees Fahrenheit during HE 14-1</w:t>
            </w:r>
            <w:r w:rsidR="00E70197">
              <w:rPr>
                <w:rFonts w:cs="Calibri"/>
                <w:sz w:val="20"/>
                <w:szCs w:val="20"/>
              </w:rPr>
              <w:t>8</w:t>
            </w:r>
            <w:r>
              <w:rPr>
                <w:rFonts w:cs="Calibri"/>
                <w:sz w:val="20"/>
                <w:szCs w:val="20"/>
              </w:rPr>
              <w:t xml:space="preserve"> on </w:t>
            </w:r>
            <w:r w:rsidR="00E70197">
              <w:rPr>
                <w:rFonts w:cs="Calibri"/>
                <w:sz w:val="20"/>
                <w:szCs w:val="20"/>
              </w:rPr>
              <w:t xml:space="preserve">utility-specific </w:t>
            </w:r>
            <w:r>
              <w:rPr>
                <w:rFonts w:cs="Calibri"/>
                <w:sz w:val="20"/>
                <w:szCs w:val="20"/>
              </w:rPr>
              <w:t xml:space="preserve">1-in-2 </w:t>
            </w:r>
            <w:r w:rsidR="00E70197">
              <w:rPr>
                <w:rFonts w:cs="Calibri"/>
                <w:sz w:val="20"/>
                <w:szCs w:val="20"/>
              </w:rPr>
              <w:t>typical event</w:t>
            </w:r>
            <w:r>
              <w:rPr>
                <w:rFonts w:cs="Calibri"/>
                <w:sz w:val="20"/>
                <w:szCs w:val="20"/>
              </w:rPr>
              <w:t xml:space="preserve"> day</w:t>
            </w:r>
          </w:p>
        </w:tc>
        <w:tc>
          <w:tcPr>
            <w:tcW w:w="2566" w:type="dxa"/>
            <w:tcBorders>
              <w:top w:val="single" w:sz="4" w:space="0" w:color="auto"/>
              <w:left w:val="nil"/>
              <w:bottom w:val="single" w:sz="4" w:space="0" w:color="auto"/>
              <w:right w:val="single" w:sz="4" w:space="0" w:color="auto"/>
            </w:tcBorders>
            <w:shd w:val="clear" w:color="000000" w:fill="FFFFFF"/>
          </w:tcPr>
          <w:p w14:paraId="7B3516A7" w14:textId="05629253" w:rsidR="00DA4753" w:rsidRPr="008E5D4C" w:rsidRDefault="00E70197" w:rsidP="00DA4753">
            <w:pPr>
              <w:pStyle w:val="TableText"/>
              <w:keepNext/>
              <w:keepLines/>
              <w:jc w:val="left"/>
              <w:rPr>
                <w:sz w:val="20"/>
                <w:szCs w:val="20"/>
              </w:rPr>
            </w:pPr>
            <w:r>
              <w:rPr>
                <w:sz w:val="20"/>
                <w:szCs w:val="20"/>
              </w:rPr>
              <w:t>Program load is not very weather sensitive</w:t>
            </w:r>
            <w:r w:rsidR="00DA4753">
              <w:rPr>
                <w:sz w:val="20"/>
                <w:szCs w:val="20"/>
              </w:rPr>
              <w:t>, so a small effect.</w:t>
            </w:r>
          </w:p>
        </w:tc>
      </w:tr>
      <w:tr w:rsidR="00DA4753" w:rsidRPr="007F356D" w14:paraId="5E87F766"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72D7A750" w14:textId="77777777" w:rsidR="00DA4753" w:rsidRPr="008E5D4C" w:rsidRDefault="00DA4753" w:rsidP="00DA4753">
            <w:pPr>
              <w:pStyle w:val="TableText"/>
              <w:keepNext/>
              <w:keepLines/>
              <w:jc w:val="left"/>
              <w:rPr>
                <w:sz w:val="20"/>
                <w:szCs w:val="20"/>
              </w:rPr>
            </w:pPr>
            <w:r w:rsidRPr="008E5D4C">
              <w:rPr>
                <w:sz w:val="20"/>
                <w:szCs w:val="20"/>
              </w:rPr>
              <w:t>Event window</w:t>
            </w:r>
          </w:p>
        </w:tc>
        <w:tc>
          <w:tcPr>
            <w:tcW w:w="3028" w:type="dxa"/>
            <w:tcBorders>
              <w:top w:val="nil"/>
              <w:left w:val="nil"/>
              <w:bottom w:val="single" w:sz="4" w:space="0" w:color="auto"/>
              <w:right w:val="single" w:sz="4" w:space="0" w:color="auto"/>
            </w:tcBorders>
            <w:shd w:val="clear" w:color="auto" w:fill="auto"/>
            <w:noWrap/>
          </w:tcPr>
          <w:p w14:paraId="563AA019" w14:textId="60C587A7" w:rsidR="00DA4753" w:rsidRPr="008E5D4C" w:rsidRDefault="00DA4753" w:rsidP="00B525DE">
            <w:pPr>
              <w:pStyle w:val="TableText"/>
              <w:keepNext/>
              <w:keepLines/>
              <w:jc w:val="left"/>
              <w:rPr>
                <w:rFonts w:cs="Calibri"/>
                <w:sz w:val="20"/>
                <w:szCs w:val="20"/>
              </w:rPr>
            </w:pPr>
            <w:r>
              <w:rPr>
                <w:rFonts w:cs="Calibri"/>
                <w:sz w:val="20"/>
                <w:szCs w:val="20"/>
              </w:rPr>
              <w:t>HE 1</w:t>
            </w:r>
            <w:r w:rsidR="00E70197">
              <w:rPr>
                <w:rFonts w:cs="Calibri"/>
                <w:sz w:val="20"/>
                <w:szCs w:val="20"/>
              </w:rPr>
              <w:t>2</w:t>
            </w:r>
            <w:r>
              <w:rPr>
                <w:rFonts w:cs="Calibri"/>
                <w:sz w:val="20"/>
                <w:szCs w:val="20"/>
              </w:rPr>
              <w:t>-1</w:t>
            </w:r>
            <w:r w:rsidR="00B525DE">
              <w:rPr>
                <w:rFonts w:cs="Calibri"/>
                <w:sz w:val="20"/>
                <w:szCs w:val="20"/>
              </w:rPr>
              <w:t>4</w:t>
            </w:r>
          </w:p>
        </w:tc>
        <w:tc>
          <w:tcPr>
            <w:tcW w:w="2340" w:type="dxa"/>
            <w:tcBorders>
              <w:top w:val="nil"/>
              <w:left w:val="nil"/>
              <w:bottom w:val="single" w:sz="4" w:space="0" w:color="auto"/>
              <w:right w:val="single" w:sz="4" w:space="0" w:color="auto"/>
            </w:tcBorders>
            <w:shd w:val="clear" w:color="000000" w:fill="FFFFFF"/>
          </w:tcPr>
          <w:p w14:paraId="42E387EC" w14:textId="2B5EA91E" w:rsidR="00DA4753" w:rsidRPr="008E5D4C" w:rsidRDefault="00DA4753" w:rsidP="00DA4753">
            <w:pPr>
              <w:pStyle w:val="TableText"/>
              <w:keepNext/>
              <w:keepLines/>
              <w:jc w:val="left"/>
              <w:rPr>
                <w:sz w:val="20"/>
                <w:szCs w:val="20"/>
              </w:rPr>
            </w:pPr>
            <w:r>
              <w:rPr>
                <w:sz w:val="20"/>
                <w:szCs w:val="20"/>
              </w:rPr>
              <w:t>HE 14-18 in Apr-Oct</w:t>
            </w:r>
            <w:r w:rsidR="006F6D54">
              <w:rPr>
                <w:sz w:val="20"/>
                <w:szCs w:val="20"/>
              </w:rPr>
              <w:t>.</w:t>
            </w:r>
          </w:p>
        </w:tc>
        <w:tc>
          <w:tcPr>
            <w:tcW w:w="2566" w:type="dxa"/>
            <w:tcBorders>
              <w:top w:val="nil"/>
              <w:left w:val="nil"/>
              <w:bottom w:val="single" w:sz="4" w:space="0" w:color="auto"/>
              <w:right w:val="single" w:sz="4" w:space="0" w:color="auto"/>
            </w:tcBorders>
            <w:shd w:val="clear" w:color="000000" w:fill="FFFFFF"/>
          </w:tcPr>
          <w:p w14:paraId="2DE2529C" w14:textId="69E7F0D9" w:rsidR="00DA4753" w:rsidRPr="008E5D4C" w:rsidRDefault="00E70197" w:rsidP="00E70197">
            <w:pPr>
              <w:pStyle w:val="TableText"/>
              <w:keepNext/>
              <w:keepLines/>
              <w:jc w:val="left"/>
              <w:rPr>
                <w:sz w:val="20"/>
                <w:szCs w:val="20"/>
              </w:rPr>
            </w:pPr>
            <w:r>
              <w:rPr>
                <w:sz w:val="20"/>
                <w:szCs w:val="20"/>
              </w:rPr>
              <w:t>Reference loads are higher earlier in the day, so the load impacts are higher in ex post even though the event-day loads relative to FSL are set to be the same.</w:t>
            </w:r>
          </w:p>
        </w:tc>
      </w:tr>
      <w:tr w:rsidR="00DA4753" w:rsidRPr="007F356D" w14:paraId="1ABA99A8"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212ADDE5" w14:textId="77777777" w:rsidR="00DA4753" w:rsidRPr="008E5D4C" w:rsidRDefault="00DA4753" w:rsidP="00DA4753">
            <w:pPr>
              <w:pStyle w:val="TableText"/>
              <w:keepNext/>
              <w:keepLines/>
              <w:jc w:val="left"/>
              <w:rPr>
                <w:sz w:val="20"/>
                <w:szCs w:val="20"/>
              </w:rPr>
            </w:pPr>
            <w:r w:rsidRPr="008E5D4C">
              <w:rPr>
                <w:sz w:val="20"/>
                <w:szCs w:val="20"/>
              </w:rPr>
              <w:t>% of resource dispatched</w:t>
            </w:r>
          </w:p>
        </w:tc>
        <w:tc>
          <w:tcPr>
            <w:tcW w:w="3028" w:type="dxa"/>
            <w:tcBorders>
              <w:top w:val="nil"/>
              <w:left w:val="nil"/>
              <w:bottom w:val="single" w:sz="4" w:space="0" w:color="auto"/>
              <w:right w:val="single" w:sz="4" w:space="0" w:color="auto"/>
            </w:tcBorders>
            <w:shd w:val="clear" w:color="auto" w:fill="auto"/>
            <w:noWrap/>
          </w:tcPr>
          <w:p w14:paraId="048F6BDE" w14:textId="77777777" w:rsidR="00DA4753" w:rsidRPr="008E5D4C" w:rsidRDefault="00DA4753" w:rsidP="00DA4753">
            <w:pPr>
              <w:pStyle w:val="TableText"/>
              <w:keepNext/>
              <w:keepLines/>
              <w:jc w:val="left"/>
              <w:rPr>
                <w:rFonts w:cs="Calibri"/>
                <w:sz w:val="20"/>
                <w:szCs w:val="20"/>
              </w:rPr>
            </w:pPr>
            <w:r>
              <w:rPr>
                <w:rFonts w:cs="Calibri"/>
                <w:sz w:val="20"/>
                <w:szCs w:val="20"/>
              </w:rPr>
              <w:t>All</w:t>
            </w:r>
          </w:p>
        </w:tc>
        <w:tc>
          <w:tcPr>
            <w:tcW w:w="2340" w:type="dxa"/>
            <w:tcBorders>
              <w:top w:val="nil"/>
              <w:left w:val="nil"/>
              <w:bottom w:val="single" w:sz="4" w:space="0" w:color="auto"/>
              <w:right w:val="single" w:sz="4" w:space="0" w:color="auto"/>
            </w:tcBorders>
            <w:shd w:val="clear" w:color="000000" w:fill="FFFFFF"/>
          </w:tcPr>
          <w:p w14:paraId="0D29D6AE" w14:textId="77777777" w:rsidR="00DA4753" w:rsidRPr="008E5D4C" w:rsidRDefault="00DA4753" w:rsidP="00DA4753">
            <w:pPr>
              <w:pStyle w:val="TableText"/>
              <w:keepNext/>
              <w:keepLines/>
              <w:jc w:val="left"/>
              <w:rPr>
                <w:sz w:val="20"/>
                <w:szCs w:val="20"/>
              </w:rPr>
            </w:pPr>
            <w:r>
              <w:rPr>
                <w:sz w:val="20"/>
                <w:szCs w:val="20"/>
              </w:rPr>
              <w:t>All</w:t>
            </w:r>
          </w:p>
        </w:tc>
        <w:tc>
          <w:tcPr>
            <w:tcW w:w="2566" w:type="dxa"/>
            <w:tcBorders>
              <w:top w:val="nil"/>
              <w:left w:val="nil"/>
              <w:bottom w:val="single" w:sz="4" w:space="0" w:color="auto"/>
              <w:right w:val="single" w:sz="4" w:space="0" w:color="auto"/>
            </w:tcBorders>
            <w:shd w:val="clear" w:color="000000" w:fill="FFFFFF"/>
          </w:tcPr>
          <w:p w14:paraId="191D7913" w14:textId="77777777" w:rsidR="00DA4753" w:rsidRPr="008E5D4C" w:rsidRDefault="00DA4753" w:rsidP="00DA4753">
            <w:pPr>
              <w:pStyle w:val="TableText"/>
              <w:keepNext/>
              <w:keepLines/>
              <w:jc w:val="left"/>
              <w:rPr>
                <w:sz w:val="20"/>
                <w:szCs w:val="20"/>
              </w:rPr>
            </w:pPr>
            <w:r>
              <w:rPr>
                <w:sz w:val="20"/>
                <w:szCs w:val="20"/>
              </w:rPr>
              <w:t>None</w:t>
            </w:r>
          </w:p>
        </w:tc>
      </w:tr>
      <w:tr w:rsidR="00DA4753" w:rsidRPr="007F356D" w14:paraId="4563B11B"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03A58E03" w14:textId="77777777" w:rsidR="00DA4753" w:rsidRPr="008E5D4C" w:rsidRDefault="00DA4753" w:rsidP="00DA4753">
            <w:pPr>
              <w:pStyle w:val="TableText"/>
              <w:keepNext/>
              <w:keepLines/>
              <w:jc w:val="left"/>
              <w:rPr>
                <w:sz w:val="20"/>
                <w:szCs w:val="20"/>
              </w:rPr>
            </w:pPr>
            <w:r w:rsidRPr="008E5D4C">
              <w:rPr>
                <w:sz w:val="20"/>
                <w:szCs w:val="20"/>
              </w:rPr>
              <w:t>Enrollment</w:t>
            </w:r>
          </w:p>
        </w:tc>
        <w:tc>
          <w:tcPr>
            <w:tcW w:w="3028" w:type="dxa"/>
            <w:tcBorders>
              <w:top w:val="nil"/>
              <w:left w:val="nil"/>
              <w:bottom w:val="single" w:sz="4" w:space="0" w:color="auto"/>
              <w:right w:val="single" w:sz="4" w:space="0" w:color="auto"/>
            </w:tcBorders>
            <w:shd w:val="clear" w:color="auto" w:fill="auto"/>
            <w:noWrap/>
          </w:tcPr>
          <w:p w14:paraId="0145C39D" w14:textId="560823F7" w:rsidR="00DA4753" w:rsidRPr="008E5D4C" w:rsidRDefault="001208EF" w:rsidP="00DA4753">
            <w:pPr>
              <w:pStyle w:val="TableText"/>
              <w:keepNext/>
              <w:keepLines/>
              <w:jc w:val="left"/>
              <w:rPr>
                <w:rFonts w:cs="Calibri"/>
                <w:sz w:val="20"/>
                <w:szCs w:val="20"/>
              </w:rPr>
            </w:pPr>
            <w:r>
              <w:rPr>
                <w:rFonts w:cs="Calibri"/>
                <w:sz w:val="20"/>
                <w:szCs w:val="20"/>
              </w:rPr>
              <w:t>7</w:t>
            </w:r>
            <w:r w:rsidR="00DA4753">
              <w:rPr>
                <w:rFonts w:cs="Calibri"/>
                <w:sz w:val="20"/>
                <w:szCs w:val="20"/>
              </w:rPr>
              <w:t xml:space="preserve"> service accounts</w:t>
            </w:r>
          </w:p>
        </w:tc>
        <w:tc>
          <w:tcPr>
            <w:tcW w:w="2340" w:type="dxa"/>
            <w:tcBorders>
              <w:top w:val="nil"/>
              <w:left w:val="nil"/>
              <w:bottom w:val="single" w:sz="4" w:space="0" w:color="auto"/>
              <w:right w:val="single" w:sz="4" w:space="0" w:color="auto"/>
            </w:tcBorders>
            <w:shd w:val="clear" w:color="000000" w:fill="FFFFFF"/>
          </w:tcPr>
          <w:p w14:paraId="6C6E0C30" w14:textId="0FB5864A" w:rsidR="00DA4753" w:rsidRPr="008E5D4C" w:rsidRDefault="001208EF" w:rsidP="00DA4753">
            <w:pPr>
              <w:pStyle w:val="TableText"/>
              <w:keepNext/>
              <w:keepLines/>
              <w:jc w:val="left"/>
              <w:rPr>
                <w:sz w:val="20"/>
                <w:szCs w:val="20"/>
              </w:rPr>
            </w:pPr>
            <w:r>
              <w:rPr>
                <w:sz w:val="20"/>
                <w:szCs w:val="20"/>
              </w:rPr>
              <w:t>7</w:t>
            </w:r>
            <w:r w:rsidR="00DA4753">
              <w:rPr>
                <w:sz w:val="20"/>
                <w:szCs w:val="20"/>
              </w:rPr>
              <w:t xml:space="preserve"> service accounts</w:t>
            </w:r>
          </w:p>
        </w:tc>
        <w:tc>
          <w:tcPr>
            <w:tcW w:w="2566" w:type="dxa"/>
            <w:tcBorders>
              <w:top w:val="nil"/>
              <w:left w:val="nil"/>
              <w:bottom w:val="single" w:sz="4" w:space="0" w:color="auto"/>
              <w:right w:val="single" w:sz="4" w:space="0" w:color="auto"/>
            </w:tcBorders>
            <w:shd w:val="clear" w:color="000000" w:fill="FFFFFF"/>
          </w:tcPr>
          <w:p w14:paraId="54D68972" w14:textId="77777777" w:rsidR="00DA4753" w:rsidRPr="008E5D4C" w:rsidRDefault="00DA4753" w:rsidP="00DA4753">
            <w:pPr>
              <w:pStyle w:val="TableText"/>
              <w:keepNext/>
              <w:keepLines/>
              <w:jc w:val="left"/>
              <w:rPr>
                <w:sz w:val="20"/>
                <w:szCs w:val="20"/>
              </w:rPr>
            </w:pPr>
            <w:r>
              <w:rPr>
                <w:sz w:val="20"/>
                <w:szCs w:val="20"/>
              </w:rPr>
              <w:t>None. We assume that enrollment does not change in the forecast period.</w:t>
            </w:r>
          </w:p>
        </w:tc>
      </w:tr>
      <w:tr w:rsidR="00DA4753" w:rsidRPr="007F356D" w14:paraId="7770971B" w14:textId="77777777" w:rsidTr="00DA4753">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14:paraId="1C8E38B8" w14:textId="77777777" w:rsidR="00DA4753" w:rsidRPr="008E5D4C" w:rsidRDefault="00DA4753" w:rsidP="00DA4753">
            <w:pPr>
              <w:pStyle w:val="TableText"/>
              <w:keepNext/>
              <w:keepLines/>
              <w:jc w:val="left"/>
              <w:rPr>
                <w:sz w:val="20"/>
                <w:szCs w:val="20"/>
              </w:rPr>
            </w:pPr>
            <w:r w:rsidRPr="008E5D4C">
              <w:rPr>
                <w:sz w:val="20"/>
                <w:szCs w:val="20"/>
              </w:rPr>
              <w:t>Methodology</w:t>
            </w:r>
          </w:p>
        </w:tc>
        <w:tc>
          <w:tcPr>
            <w:tcW w:w="3028" w:type="dxa"/>
            <w:tcBorders>
              <w:top w:val="nil"/>
              <w:left w:val="nil"/>
              <w:bottom w:val="single" w:sz="4" w:space="0" w:color="auto"/>
              <w:right w:val="single" w:sz="4" w:space="0" w:color="auto"/>
            </w:tcBorders>
            <w:shd w:val="clear" w:color="auto" w:fill="auto"/>
            <w:noWrap/>
          </w:tcPr>
          <w:p w14:paraId="1722B181" w14:textId="77777777" w:rsidR="00DA4753" w:rsidRPr="008E5D4C" w:rsidRDefault="00DA4753" w:rsidP="00DA4753">
            <w:pPr>
              <w:pStyle w:val="TableText"/>
              <w:keepNext/>
              <w:keepLines/>
              <w:spacing w:after="120"/>
              <w:jc w:val="left"/>
              <w:rPr>
                <w:rFonts w:cs="Calibri"/>
                <w:sz w:val="20"/>
                <w:szCs w:val="20"/>
              </w:rPr>
            </w:pPr>
            <w:r>
              <w:rPr>
                <w:rFonts w:cs="Calibri"/>
                <w:sz w:val="20"/>
                <w:szCs w:val="20"/>
              </w:rPr>
              <w:t>SAID-specific regressions using own within-subject analysis.</w:t>
            </w:r>
          </w:p>
        </w:tc>
        <w:tc>
          <w:tcPr>
            <w:tcW w:w="2340" w:type="dxa"/>
            <w:tcBorders>
              <w:top w:val="nil"/>
              <w:left w:val="nil"/>
              <w:bottom w:val="single" w:sz="4" w:space="0" w:color="auto"/>
              <w:right w:val="single" w:sz="4" w:space="0" w:color="auto"/>
            </w:tcBorders>
            <w:shd w:val="clear" w:color="000000" w:fill="FFFFFF"/>
          </w:tcPr>
          <w:p w14:paraId="2900605B" w14:textId="77777777" w:rsidR="00DA4753" w:rsidRPr="008E5D4C" w:rsidRDefault="00DA4753" w:rsidP="00DA4753">
            <w:pPr>
              <w:pStyle w:val="TableText"/>
              <w:keepNext/>
              <w:keepLines/>
              <w:jc w:val="left"/>
              <w:rPr>
                <w:sz w:val="20"/>
                <w:szCs w:val="20"/>
              </w:rPr>
            </w:pPr>
            <w:r>
              <w:rPr>
                <w:sz w:val="20"/>
                <w:szCs w:val="20"/>
              </w:rPr>
              <w:t xml:space="preserve">Reference loads are simulated from </w:t>
            </w:r>
            <w:r>
              <w:rPr>
                <w:rFonts w:cs="Calibri"/>
                <w:sz w:val="20"/>
                <w:szCs w:val="20"/>
              </w:rPr>
              <w:t xml:space="preserve">SAID-specific regressions. </w:t>
            </w:r>
          </w:p>
        </w:tc>
        <w:tc>
          <w:tcPr>
            <w:tcW w:w="2566" w:type="dxa"/>
            <w:tcBorders>
              <w:top w:val="nil"/>
              <w:left w:val="nil"/>
              <w:bottom w:val="single" w:sz="4" w:space="0" w:color="auto"/>
              <w:right w:val="single" w:sz="4" w:space="0" w:color="auto"/>
            </w:tcBorders>
            <w:shd w:val="clear" w:color="000000" w:fill="FFFFFF"/>
          </w:tcPr>
          <w:p w14:paraId="0E7D4945" w14:textId="77777777" w:rsidR="00DA4753" w:rsidRPr="008E5D4C" w:rsidRDefault="00DA4753" w:rsidP="00DA4753">
            <w:pPr>
              <w:pStyle w:val="TableText"/>
              <w:keepNext/>
              <w:keepLines/>
              <w:jc w:val="left"/>
              <w:rPr>
                <w:sz w:val="20"/>
                <w:szCs w:val="20"/>
              </w:rPr>
            </w:pPr>
            <w:r>
              <w:rPr>
                <w:sz w:val="20"/>
                <w:szCs w:val="20"/>
              </w:rPr>
              <w:t>Small differences between simulated ex ante and estimated ex post reference loads</w:t>
            </w:r>
          </w:p>
        </w:tc>
      </w:tr>
    </w:tbl>
    <w:p w14:paraId="3561EC1B" w14:textId="77777777" w:rsidR="00DA4753" w:rsidRDefault="00DA4753" w:rsidP="00DA4753"/>
    <w:p w14:paraId="08ABA70C" w14:textId="7B1E6059" w:rsidR="00DA4753" w:rsidRDefault="00DA4753" w:rsidP="00DA4753">
      <w:r>
        <w:t>Table 6.1</w:t>
      </w:r>
      <w:r w:rsidR="00372CA5">
        <w:t>5</w:t>
      </w:r>
      <w:r>
        <w:t xml:space="preserve"> shows a comparison of ex post and ex ante load impacts. The average reference loads and load impacts are calculated across the relevant event hours. </w:t>
      </w:r>
      <w:r w:rsidR="006F6D54">
        <w:t>This table illustrates the explanation above: that reference loads were higher during the earlier event window on the May 16</w:t>
      </w:r>
      <w:r w:rsidR="006F6D54" w:rsidRPr="006F6D54">
        <w:rPr>
          <w:vertAlign w:val="superscript"/>
        </w:rPr>
        <w:t>th</w:t>
      </w:r>
      <w:r w:rsidR="006F6D54">
        <w:t xml:space="preserve"> event day, causing the ex post load impacts to be higher than the forecast load impacts. </w:t>
      </w:r>
    </w:p>
    <w:p w14:paraId="3C3425AA" w14:textId="77777777" w:rsidR="00DA4753" w:rsidRDefault="00DA4753" w:rsidP="00DA4753"/>
    <w:p w14:paraId="3795CE57" w14:textId="10EB7D14" w:rsidR="00DA4753" w:rsidRPr="008E5D4C" w:rsidRDefault="00DA4753" w:rsidP="00DA4753">
      <w:pPr>
        <w:pStyle w:val="TableCaption"/>
        <w:keepNext/>
        <w:keepLines/>
      </w:pPr>
      <w:bookmarkStart w:id="252" w:name="_Toc383598028"/>
      <w:bookmarkStart w:id="253" w:name="_Toc415489039"/>
      <w:r>
        <w:t>Table</w:t>
      </w:r>
      <w:r w:rsidRPr="008E5D4C">
        <w:t xml:space="preserve"> </w:t>
      </w:r>
      <w:r>
        <w:t>6</w:t>
      </w:r>
      <w:r w:rsidRPr="008E5D4C">
        <w:t>.</w:t>
      </w:r>
      <w:r>
        <w:t>1</w:t>
      </w:r>
      <w:r w:rsidR="00372CA5">
        <w:t>5</w:t>
      </w:r>
      <w:r w:rsidRPr="008E5D4C">
        <w:t xml:space="preserve">: </w:t>
      </w:r>
      <w:r>
        <w:t>Comparison of Ex Post and Ex Ante Load Impacts, SDG&amp;</w:t>
      </w:r>
      <w:r w:rsidRPr="008E5D4C">
        <w:t>E</w:t>
      </w:r>
      <w:bookmarkEnd w:id="252"/>
      <w:bookmarkEnd w:id="2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1395"/>
        <w:gridCol w:w="1184"/>
        <w:gridCol w:w="1394"/>
        <w:gridCol w:w="805"/>
        <w:gridCol w:w="784"/>
      </w:tblGrid>
      <w:tr w:rsidR="00DA4753" w14:paraId="1A53DF53" w14:textId="77777777" w:rsidTr="00DA4753">
        <w:trPr>
          <w:jc w:val="center"/>
        </w:trPr>
        <w:tc>
          <w:tcPr>
            <w:tcW w:w="0" w:type="auto"/>
            <w:shd w:val="clear" w:color="auto" w:fill="D9E2F3"/>
            <w:vAlign w:val="center"/>
          </w:tcPr>
          <w:p w14:paraId="0919A272" w14:textId="77777777" w:rsidR="00DA4753" w:rsidRPr="008F1A9C" w:rsidRDefault="00DA4753" w:rsidP="00DA4753">
            <w:pPr>
              <w:keepNext/>
              <w:keepLines/>
              <w:jc w:val="center"/>
              <w:rPr>
                <w:rFonts w:ascii="Arial" w:hAnsi="Arial" w:cs="Arial"/>
                <w:b/>
                <w:sz w:val="20"/>
                <w:szCs w:val="20"/>
              </w:rPr>
            </w:pPr>
          </w:p>
          <w:p w14:paraId="3779A3CA" w14:textId="77777777" w:rsidR="00DA4753" w:rsidRPr="008F1A9C" w:rsidRDefault="00DA4753" w:rsidP="00DA4753">
            <w:pPr>
              <w:keepNext/>
              <w:keepLines/>
              <w:jc w:val="center"/>
              <w:rPr>
                <w:rFonts w:ascii="Arial" w:hAnsi="Arial" w:cs="Arial"/>
                <w:b/>
                <w:sz w:val="20"/>
                <w:szCs w:val="20"/>
              </w:rPr>
            </w:pPr>
            <w:r w:rsidRPr="008F1A9C">
              <w:rPr>
                <w:rFonts w:ascii="Arial" w:hAnsi="Arial" w:cs="Arial"/>
                <w:b/>
                <w:sz w:val="20"/>
                <w:szCs w:val="20"/>
              </w:rPr>
              <w:t>Date</w:t>
            </w:r>
          </w:p>
          <w:p w14:paraId="508D54F3" w14:textId="77777777" w:rsidR="00DA4753" w:rsidRPr="008F1A9C" w:rsidRDefault="00DA4753" w:rsidP="00DA4753">
            <w:pPr>
              <w:keepNext/>
              <w:keepLines/>
              <w:jc w:val="center"/>
              <w:rPr>
                <w:rFonts w:ascii="Arial" w:hAnsi="Arial" w:cs="Arial"/>
                <w:b/>
                <w:sz w:val="20"/>
                <w:szCs w:val="20"/>
              </w:rPr>
            </w:pPr>
          </w:p>
        </w:tc>
        <w:tc>
          <w:tcPr>
            <w:tcW w:w="0" w:type="auto"/>
            <w:shd w:val="clear" w:color="auto" w:fill="D9E2F3"/>
            <w:vAlign w:val="center"/>
          </w:tcPr>
          <w:p w14:paraId="5900BC94" w14:textId="77777777" w:rsidR="00DA4753" w:rsidRPr="008F1A9C" w:rsidRDefault="00DA4753" w:rsidP="00DA4753">
            <w:pPr>
              <w:keepNext/>
              <w:keepLines/>
              <w:jc w:val="center"/>
              <w:rPr>
                <w:rFonts w:ascii="Arial" w:hAnsi="Arial" w:cs="Arial"/>
                <w:b/>
                <w:sz w:val="20"/>
                <w:szCs w:val="20"/>
              </w:rPr>
            </w:pPr>
            <w:r w:rsidRPr="008F1A9C">
              <w:rPr>
                <w:rFonts w:ascii="Arial" w:hAnsi="Arial" w:cs="Arial"/>
                <w:b/>
                <w:sz w:val="20"/>
                <w:szCs w:val="20"/>
              </w:rPr>
              <w:t>Event Hours</w:t>
            </w:r>
          </w:p>
        </w:tc>
        <w:tc>
          <w:tcPr>
            <w:tcW w:w="0" w:type="auto"/>
            <w:shd w:val="clear" w:color="auto" w:fill="D9E2F3"/>
            <w:vAlign w:val="center"/>
          </w:tcPr>
          <w:p w14:paraId="0C4F4C7D" w14:textId="77777777" w:rsidR="00DA4753" w:rsidRPr="008F1A9C" w:rsidRDefault="00DA4753" w:rsidP="00DA4753">
            <w:pPr>
              <w:keepNext/>
              <w:keepLines/>
              <w:jc w:val="center"/>
              <w:rPr>
                <w:rFonts w:ascii="Arial" w:hAnsi="Arial" w:cs="Arial"/>
                <w:b/>
                <w:sz w:val="20"/>
                <w:szCs w:val="20"/>
              </w:rPr>
            </w:pPr>
            <w:r w:rsidRPr="008F1A9C">
              <w:rPr>
                <w:rFonts w:ascii="Arial" w:hAnsi="Arial" w:cs="Arial"/>
                <w:b/>
                <w:sz w:val="20"/>
                <w:szCs w:val="20"/>
              </w:rPr>
              <w:t xml:space="preserve">Reference </w:t>
            </w:r>
          </w:p>
          <w:p w14:paraId="59361F44" w14:textId="77777777" w:rsidR="00DA4753" w:rsidRPr="008F1A9C" w:rsidRDefault="00DA4753" w:rsidP="00DA4753">
            <w:pPr>
              <w:keepNext/>
              <w:keepLines/>
              <w:jc w:val="center"/>
              <w:rPr>
                <w:rFonts w:ascii="Arial" w:hAnsi="Arial" w:cs="Arial"/>
                <w:b/>
                <w:sz w:val="20"/>
                <w:szCs w:val="20"/>
              </w:rPr>
            </w:pPr>
            <w:r w:rsidRPr="008F1A9C">
              <w:rPr>
                <w:rFonts w:ascii="Arial" w:hAnsi="Arial" w:cs="Arial"/>
                <w:b/>
                <w:sz w:val="20"/>
                <w:szCs w:val="20"/>
              </w:rPr>
              <w:t>(MW)</w:t>
            </w:r>
          </w:p>
        </w:tc>
        <w:tc>
          <w:tcPr>
            <w:tcW w:w="0" w:type="auto"/>
            <w:shd w:val="clear" w:color="auto" w:fill="D9E2F3"/>
            <w:vAlign w:val="center"/>
          </w:tcPr>
          <w:p w14:paraId="0C5A54F7" w14:textId="77777777" w:rsidR="00DA4753" w:rsidRPr="008F1A9C" w:rsidRDefault="00DA4753" w:rsidP="00DA4753">
            <w:pPr>
              <w:keepNext/>
              <w:keepLines/>
              <w:jc w:val="center"/>
              <w:rPr>
                <w:rFonts w:ascii="Arial" w:hAnsi="Arial" w:cs="Arial"/>
                <w:b/>
                <w:sz w:val="20"/>
                <w:szCs w:val="20"/>
              </w:rPr>
            </w:pPr>
            <w:r w:rsidRPr="008F1A9C">
              <w:rPr>
                <w:rFonts w:ascii="Arial" w:hAnsi="Arial" w:cs="Arial"/>
                <w:b/>
                <w:sz w:val="20"/>
                <w:szCs w:val="20"/>
              </w:rPr>
              <w:t xml:space="preserve">Load Impact </w:t>
            </w:r>
          </w:p>
          <w:p w14:paraId="007A325E" w14:textId="77777777" w:rsidR="00DA4753" w:rsidRPr="008F1A9C" w:rsidRDefault="00DA4753" w:rsidP="00DA4753">
            <w:pPr>
              <w:keepNext/>
              <w:keepLines/>
              <w:jc w:val="center"/>
              <w:rPr>
                <w:rFonts w:ascii="Arial" w:hAnsi="Arial" w:cs="Arial"/>
                <w:b/>
                <w:sz w:val="20"/>
                <w:szCs w:val="20"/>
              </w:rPr>
            </w:pPr>
            <w:r w:rsidRPr="008F1A9C">
              <w:rPr>
                <w:rFonts w:ascii="Arial" w:hAnsi="Arial" w:cs="Arial"/>
                <w:b/>
                <w:sz w:val="20"/>
                <w:szCs w:val="20"/>
              </w:rPr>
              <w:t>(MW)</w:t>
            </w:r>
          </w:p>
        </w:tc>
        <w:tc>
          <w:tcPr>
            <w:tcW w:w="0" w:type="auto"/>
            <w:shd w:val="clear" w:color="auto" w:fill="D9E2F3"/>
            <w:vAlign w:val="center"/>
          </w:tcPr>
          <w:p w14:paraId="6AEB012F" w14:textId="77777777" w:rsidR="00DA4753" w:rsidRPr="008F1A9C" w:rsidRDefault="00DA4753" w:rsidP="00DA4753">
            <w:pPr>
              <w:keepNext/>
              <w:keepLines/>
              <w:jc w:val="center"/>
              <w:rPr>
                <w:rFonts w:ascii="Arial" w:hAnsi="Arial" w:cs="Arial"/>
                <w:b/>
                <w:sz w:val="20"/>
                <w:szCs w:val="20"/>
              </w:rPr>
            </w:pPr>
            <w:r w:rsidRPr="008F1A9C">
              <w:rPr>
                <w:rFonts w:ascii="Arial" w:hAnsi="Arial" w:cs="Arial"/>
                <w:b/>
                <w:sz w:val="20"/>
                <w:szCs w:val="20"/>
              </w:rPr>
              <w:t>Temp.</w:t>
            </w:r>
          </w:p>
        </w:tc>
        <w:tc>
          <w:tcPr>
            <w:tcW w:w="0" w:type="auto"/>
            <w:shd w:val="clear" w:color="auto" w:fill="D9E2F3"/>
            <w:vAlign w:val="center"/>
          </w:tcPr>
          <w:p w14:paraId="54995B64" w14:textId="77777777" w:rsidR="00DA4753" w:rsidRPr="008F1A9C" w:rsidRDefault="00DA4753" w:rsidP="00DA4753">
            <w:pPr>
              <w:keepNext/>
              <w:keepLines/>
              <w:jc w:val="center"/>
              <w:rPr>
                <w:rFonts w:ascii="Arial" w:hAnsi="Arial" w:cs="Arial"/>
                <w:b/>
                <w:sz w:val="20"/>
                <w:szCs w:val="20"/>
              </w:rPr>
            </w:pPr>
            <w:r w:rsidRPr="008F1A9C">
              <w:rPr>
                <w:rFonts w:ascii="Arial" w:hAnsi="Arial" w:cs="Arial"/>
                <w:b/>
                <w:sz w:val="20"/>
                <w:szCs w:val="20"/>
              </w:rPr>
              <w:t>% LI</w:t>
            </w:r>
          </w:p>
        </w:tc>
      </w:tr>
      <w:tr w:rsidR="00B525DE" w14:paraId="00438F03" w14:textId="77777777" w:rsidTr="00DA4753">
        <w:trPr>
          <w:jc w:val="center"/>
        </w:trPr>
        <w:tc>
          <w:tcPr>
            <w:tcW w:w="0" w:type="auto"/>
            <w:shd w:val="clear" w:color="auto" w:fill="auto"/>
            <w:vAlign w:val="center"/>
          </w:tcPr>
          <w:p w14:paraId="1EAB3E62" w14:textId="6DAF25C0" w:rsidR="00B525DE" w:rsidRPr="008F1A9C" w:rsidRDefault="00B525DE" w:rsidP="00B525DE">
            <w:pPr>
              <w:keepNext/>
              <w:keepLines/>
              <w:jc w:val="center"/>
              <w:rPr>
                <w:rFonts w:ascii="Arial" w:hAnsi="Arial" w:cs="Arial"/>
                <w:sz w:val="20"/>
                <w:szCs w:val="20"/>
              </w:rPr>
            </w:pPr>
            <w:r>
              <w:rPr>
                <w:rFonts w:ascii="Arial" w:hAnsi="Arial" w:cs="Arial"/>
                <w:sz w:val="20"/>
                <w:szCs w:val="20"/>
              </w:rPr>
              <w:t>5/16/2014</w:t>
            </w:r>
          </w:p>
        </w:tc>
        <w:tc>
          <w:tcPr>
            <w:tcW w:w="0" w:type="auto"/>
            <w:shd w:val="clear" w:color="auto" w:fill="auto"/>
            <w:vAlign w:val="center"/>
          </w:tcPr>
          <w:p w14:paraId="2A84F72A" w14:textId="6A2B065B" w:rsidR="00B525DE" w:rsidRPr="008F1A9C" w:rsidRDefault="00B525DE" w:rsidP="00B525DE">
            <w:pPr>
              <w:keepNext/>
              <w:keepLines/>
              <w:jc w:val="center"/>
              <w:rPr>
                <w:rFonts w:ascii="Arial" w:hAnsi="Arial" w:cs="Arial"/>
                <w:sz w:val="20"/>
                <w:szCs w:val="20"/>
              </w:rPr>
            </w:pPr>
            <w:r w:rsidRPr="008F1A9C">
              <w:rPr>
                <w:rFonts w:ascii="Arial" w:hAnsi="Arial" w:cs="Arial"/>
                <w:sz w:val="20"/>
                <w:szCs w:val="20"/>
              </w:rPr>
              <w:t>H</w:t>
            </w:r>
            <w:r>
              <w:rPr>
                <w:rFonts w:ascii="Arial" w:hAnsi="Arial" w:cs="Arial"/>
                <w:sz w:val="20"/>
                <w:szCs w:val="20"/>
              </w:rPr>
              <w:t>E 12</w:t>
            </w:r>
            <w:r w:rsidRPr="008F1A9C">
              <w:rPr>
                <w:rFonts w:ascii="Arial" w:hAnsi="Arial" w:cs="Arial"/>
                <w:sz w:val="20"/>
                <w:szCs w:val="20"/>
              </w:rPr>
              <w:t>-1</w:t>
            </w:r>
            <w:r>
              <w:rPr>
                <w:rFonts w:ascii="Arial" w:hAnsi="Arial" w:cs="Arial"/>
                <w:sz w:val="20"/>
                <w:szCs w:val="20"/>
              </w:rPr>
              <w:t>4</w:t>
            </w:r>
          </w:p>
        </w:tc>
        <w:tc>
          <w:tcPr>
            <w:tcW w:w="0" w:type="auto"/>
            <w:shd w:val="clear" w:color="auto" w:fill="auto"/>
            <w:vAlign w:val="center"/>
          </w:tcPr>
          <w:p w14:paraId="4A0ADDA0" w14:textId="0168264D" w:rsidR="00B525DE" w:rsidRPr="008F1A9C" w:rsidRDefault="00B525DE" w:rsidP="00B525DE">
            <w:pPr>
              <w:keepNext/>
              <w:keepLines/>
              <w:jc w:val="center"/>
              <w:rPr>
                <w:rFonts w:ascii="Arial" w:hAnsi="Arial" w:cs="Arial"/>
                <w:sz w:val="20"/>
                <w:szCs w:val="20"/>
              </w:rPr>
            </w:pPr>
            <w:r>
              <w:rPr>
                <w:rFonts w:ascii="Arial" w:hAnsi="Arial" w:cs="Arial"/>
                <w:sz w:val="20"/>
                <w:szCs w:val="20"/>
              </w:rPr>
              <w:t>4.0</w:t>
            </w:r>
          </w:p>
        </w:tc>
        <w:tc>
          <w:tcPr>
            <w:tcW w:w="0" w:type="auto"/>
            <w:shd w:val="clear" w:color="auto" w:fill="auto"/>
            <w:vAlign w:val="center"/>
          </w:tcPr>
          <w:p w14:paraId="1DE51506" w14:textId="63443E2B" w:rsidR="00B525DE" w:rsidRPr="008F1A9C" w:rsidRDefault="00B525DE" w:rsidP="00B525DE">
            <w:pPr>
              <w:keepNext/>
              <w:keepLines/>
              <w:jc w:val="center"/>
              <w:rPr>
                <w:rFonts w:ascii="Arial" w:hAnsi="Arial" w:cs="Arial"/>
                <w:sz w:val="20"/>
                <w:szCs w:val="20"/>
              </w:rPr>
            </w:pPr>
            <w:r>
              <w:rPr>
                <w:rFonts w:ascii="Arial" w:hAnsi="Arial" w:cs="Arial"/>
                <w:sz w:val="20"/>
                <w:szCs w:val="20"/>
              </w:rPr>
              <w:t>2.0</w:t>
            </w:r>
          </w:p>
        </w:tc>
        <w:tc>
          <w:tcPr>
            <w:tcW w:w="0" w:type="auto"/>
            <w:shd w:val="clear" w:color="auto" w:fill="auto"/>
            <w:vAlign w:val="center"/>
          </w:tcPr>
          <w:p w14:paraId="78644F1C" w14:textId="62A49D2D" w:rsidR="00B525DE" w:rsidRPr="008F1A9C" w:rsidRDefault="00B525DE" w:rsidP="00B525DE">
            <w:pPr>
              <w:keepNext/>
              <w:keepLines/>
              <w:jc w:val="center"/>
              <w:rPr>
                <w:rFonts w:ascii="Arial" w:hAnsi="Arial" w:cs="Arial"/>
                <w:sz w:val="20"/>
                <w:szCs w:val="20"/>
              </w:rPr>
            </w:pPr>
            <w:r>
              <w:rPr>
                <w:rFonts w:ascii="Arial" w:hAnsi="Arial" w:cs="Arial"/>
                <w:sz w:val="20"/>
                <w:szCs w:val="20"/>
              </w:rPr>
              <w:t>89.6</w:t>
            </w:r>
          </w:p>
        </w:tc>
        <w:tc>
          <w:tcPr>
            <w:tcW w:w="0" w:type="auto"/>
            <w:shd w:val="clear" w:color="auto" w:fill="auto"/>
            <w:vAlign w:val="center"/>
          </w:tcPr>
          <w:p w14:paraId="3B3BCD66" w14:textId="7B881677" w:rsidR="00B525DE" w:rsidRPr="008F1A9C" w:rsidRDefault="00B525DE" w:rsidP="00B525DE">
            <w:pPr>
              <w:keepNext/>
              <w:keepLines/>
              <w:jc w:val="center"/>
              <w:rPr>
                <w:rFonts w:ascii="Arial" w:hAnsi="Arial" w:cs="Arial"/>
                <w:sz w:val="20"/>
                <w:szCs w:val="20"/>
              </w:rPr>
            </w:pPr>
            <w:r>
              <w:rPr>
                <w:rFonts w:ascii="Arial" w:hAnsi="Arial" w:cs="Arial"/>
                <w:sz w:val="20"/>
                <w:szCs w:val="20"/>
              </w:rPr>
              <w:t>50.1</w:t>
            </w:r>
            <w:r w:rsidRPr="008F1A9C">
              <w:rPr>
                <w:rFonts w:ascii="Arial" w:hAnsi="Arial" w:cs="Arial"/>
                <w:sz w:val="20"/>
                <w:szCs w:val="20"/>
              </w:rPr>
              <w:t>%</w:t>
            </w:r>
          </w:p>
        </w:tc>
      </w:tr>
      <w:tr w:rsidR="00DA4753" w14:paraId="5CED2A6A" w14:textId="77777777" w:rsidTr="00DA4753">
        <w:trPr>
          <w:jc w:val="center"/>
        </w:trPr>
        <w:tc>
          <w:tcPr>
            <w:tcW w:w="0" w:type="auto"/>
            <w:shd w:val="clear" w:color="auto" w:fill="auto"/>
            <w:vAlign w:val="center"/>
          </w:tcPr>
          <w:p w14:paraId="0458125F" w14:textId="50ED41E0" w:rsidR="00DA4753" w:rsidRPr="008F1A9C" w:rsidRDefault="00DA4753" w:rsidP="001208EF">
            <w:pPr>
              <w:keepNext/>
              <w:keepLines/>
              <w:jc w:val="center"/>
              <w:rPr>
                <w:rFonts w:ascii="Arial" w:hAnsi="Arial" w:cs="Arial"/>
                <w:sz w:val="20"/>
                <w:szCs w:val="20"/>
              </w:rPr>
            </w:pPr>
            <w:r w:rsidRPr="008F1A9C">
              <w:rPr>
                <w:rFonts w:ascii="Arial" w:hAnsi="Arial" w:cs="Arial"/>
                <w:sz w:val="20"/>
                <w:szCs w:val="20"/>
              </w:rPr>
              <w:t xml:space="preserve">Ex Ante </w:t>
            </w:r>
            <w:r w:rsidR="001208EF">
              <w:rPr>
                <w:rFonts w:ascii="Arial" w:hAnsi="Arial" w:cs="Arial"/>
                <w:sz w:val="20"/>
                <w:szCs w:val="20"/>
              </w:rPr>
              <w:t>TED</w:t>
            </w:r>
            <w:r w:rsidRPr="008F1A9C">
              <w:rPr>
                <w:rFonts w:ascii="Arial" w:hAnsi="Arial" w:cs="Arial"/>
                <w:sz w:val="20"/>
                <w:szCs w:val="20"/>
              </w:rPr>
              <w:t xml:space="preserve"> 1-in-2</w:t>
            </w:r>
          </w:p>
        </w:tc>
        <w:tc>
          <w:tcPr>
            <w:tcW w:w="0" w:type="auto"/>
            <w:shd w:val="clear" w:color="auto" w:fill="auto"/>
            <w:vAlign w:val="center"/>
          </w:tcPr>
          <w:p w14:paraId="41C579D6" w14:textId="77777777" w:rsidR="00DA4753" w:rsidRPr="008F1A9C" w:rsidRDefault="00DA4753" w:rsidP="00DA4753">
            <w:pPr>
              <w:keepNext/>
              <w:keepLines/>
              <w:jc w:val="center"/>
              <w:rPr>
                <w:rFonts w:ascii="Arial" w:hAnsi="Arial" w:cs="Arial"/>
                <w:sz w:val="20"/>
                <w:szCs w:val="20"/>
              </w:rPr>
            </w:pPr>
            <w:r w:rsidRPr="008F1A9C">
              <w:rPr>
                <w:rFonts w:ascii="Arial" w:hAnsi="Arial" w:cs="Arial"/>
                <w:sz w:val="20"/>
                <w:szCs w:val="20"/>
              </w:rPr>
              <w:t>HE 14-18</w:t>
            </w:r>
          </w:p>
        </w:tc>
        <w:tc>
          <w:tcPr>
            <w:tcW w:w="0" w:type="auto"/>
            <w:shd w:val="clear" w:color="auto" w:fill="auto"/>
            <w:vAlign w:val="center"/>
          </w:tcPr>
          <w:p w14:paraId="4FDFF0D7" w14:textId="13971AF2" w:rsidR="00DA4753" w:rsidRPr="008F1A9C" w:rsidRDefault="001208EF" w:rsidP="00DA4753">
            <w:pPr>
              <w:keepNext/>
              <w:keepLines/>
              <w:jc w:val="center"/>
              <w:rPr>
                <w:rFonts w:ascii="Arial" w:hAnsi="Arial" w:cs="Arial"/>
                <w:sz w:val="20"/>
                <w:szCs w:val="20"/>
              </w:rPr>
            </w:pPr>
            <w:r>
              <w:rPr>
                <w:rFonts w:ascii="Arial" w:hAnsi="Arial" w:cs="Arial"/>
                <w:sz w:val="20"/>
                <w:szCs w:val="20"/>
              </w:rPr>
              <w:t>3.2</w:t>
            </w:r>
          </w:p>
        </w:tc>
        <w:tc>
          <w:tcPr>
            <w:tcW w:w="0" w:type="auto"/>
            <w:shd w:val="clear" w:color="auto" w:fill="auto"/>
            <w:vAlign w:val="center"/>
          </w:tcPr>
          <w:p w14:paraId="5D2749BC" w14:textId="2E1CF927" w:rsidR="00DA4753" w:rsidRPr="008F1A9C" w:rsidRDefault="001208EF" w:rsidP="00DA4753">
            <w:pPr>
              <w:keepNext/>
              <w:keepLines/>
              <w:jc w:val="center"/>
              <w:rPr>
                <w:rFonts w:ascii="Arial" w:hAnsi="Arial" w:cs="Arial"/>
                <w:sz w:val="20"/>
                <w:szCs w:val="20"/>
              </w:rPr>
            </w:pPr>
            <w:r>
              <w:rPr>
                <w:rFonts w:ascii="Arial" w:hAnsi="Arial" w:cs="Arial"/>
                <w:sz w:val="20"/>
                <w:szCs w:val="20"/>
              </w:rPr>
              <w:t>1.4</w:t>
            </w:r>
          </w:p>
        </w:tc>
        <w:tc>
          <w:tcPr>
            <w:tcW w:w="0" w:type="auto"/>
            <w:shd w:val="clear" w:color="auto" w:fill="auto"/>
            <w:vAlign w:val="center"/>
          </w:tcPr>
          <w:p w14:paraId="4744A523" w14:textId="36AF0DC2" w:rsidR="00DA4753" w:rsidRPr="008F1A9C" w:rsidRDefault="001208EF" w:rsidP="00DA4753">
            <w:pPr>
              <w:keepNext/>
              <w:keepLines/>
              <w:jc w:val="center"/>
              <w:rPr>
                <w:rFonts w:ascii="Arial" w:hAnsi="Arial" w:cs="Arial"/>
                <w:sz w:val="20"/>
                <w:szCs w:val="20"/>
              </w:rPr>
            </w:pPr>
            <w:r>
              <w:rPr>
                <w:rFonts w:ascii="Arial" w:hAnsi="Arial" w:cs="Arial"/>
                <w:sz w:val="20"/>
                <w:szCs w:val="20"/>
              </w:rPr>
              <w:t>80.0</w:t>
            </w:r>
          </w:p>
        </w:tc>
        <w:tc>
          <w:tcPr>
            <w:tcW w:w="0" w:type="auto"/>
            <w:shd w:val="clear" w:color="auto" w:fill="auto"/>
            <w:vAlign w:val="center"/>
          </w:tcPr>
          <w:p w14:paraId="2F800283" w14:textId="7857903F" w:rsidR="00DA4753" w:rsidRPr="008F1A9C" w:rsidRDefault="001208EF" w:rsidP="00DA4753">
            <w:pPr>
              <w:keepNext/>
              <w:keepLines/>
              <w:jc w:val="center"/>
              <w:rPr>
                <w:rFonts w:ascii="Arial" w:hAnsi="Arial" w:cs="Arial"/>
                <w:sz w:val="20"/>
                <w:szCs w:val="20"/>
              </w:rPr>
            </w:pPr>
            <w:r>
              <w:rPr>
                <w:rFonts w:ascii="Arial" w:hAnsi="Arial" w:cs="Arial"/>
                <w:sz w:val="20"/>
                <w:szCs w:val="20"/>
              </w:rPr>
              <w:t>44.8</w:t>
            </w:r>
            <w:r w:rsidR="00DA4753" w:rsidRPr="008F1A9C">
              <w:rPr>
                <w:rFonts w:ascii="Arial" w:hAnsi="Arial" w:cs="Arial"/>
                <w:sz w:val="20"/>
                <w:szCs w:val="20"/>
              </w:rPr>
              <w:t>%</w:t>
            </w:r>
          </w:p>
        </w:tc>
      </w:tr>
    </w:tbl>
    <w:p w14:paraId="1C5F4D75" w14:textId="48249AC1" w:rsidR="00321E09" w:rsidRDefault="00DD01A1" w:rsidP="000700BB">
      <w:pPr>
        <w:pStyle w:val="Heading1"/>
      </w:pPr>
      <w:bookmarkStart w:id="254" w:name="_Toc199299563"/>
      <w:bookmarkStart w:id="255" w:name="_Toc415488990"/>
      <w:r>
        <w:t>7</w:t>
      </w:r>
      <w:r w:rsidR="00321E09" w:rsidRPr="00AB65A8">
        <w:t>. Recommendations</w:t>
      </w:r>
      <w:bookmarkEnd w:id="254"/>
      <w:bookmarkEnd w:id="255"/>
    </w:p>
    <w:p w14:paraId="031288B1" w14:textId="1A981D58" w:rsidR="005A5724" w:rsidRDefault="00C81717" w:rsidP="00A24342">
      <w:r>
        <w:t>BIP continues to perform well, with its customers providing substantial load impacts with short notice. We encourage utilities to dually enroll these customers in programs like DBP</w:t>
      </w:r>
      <w:r w:rsidR="00A11E7E">
        <w:t xml:space="preserve"> and PDP</w:t>
      </w:r>
      <w:r>
        <w:t>, which provide additional opportunities for these customers to provide demand response.</w:t>
      </w:r>
    </w:p>
    <w:p w14:paraId="7912AE5C" w14:textId="77777777" w:rsidR="00EA09F4" w:rsidRDefault="00700751" w:rsidP="00EA09F4">
      <w:pPr>
        <w:pStyle w:val="Heading1"/>
      </w:pPr>
      <w:r>
        <w:br w:type="page"/>
      </w:r>
      <w:bookmarkStart w:id="256" w:name="_Toc415488991"/>
      <w:r w:rsidR="00EA09F4">
        <w:lastRenderedPageBreak/>
        <w:t>Appendices</w:t>
      </w:r>
      <w:bookmarkEnd w:id="256"/>
    </w:p>
    <w:p w14:paraId="5CB80B3D" w14:textId="5B42E18E" w:rsidR="00EA09F4" w:rsidRDefault="00EA09F4" w:rsidP="00EA09F4">
      <w:r>
        <w:t xml:space="preserve">The following Appendices accompany this report. </w:t>
      </w:r>
      <w:r w:rsidR="007772B0">
        <w:t xml:space="preserve">Appendix A is the validity assessment associated with our ex post load impact evaluation. </w:t>
      </w:r>
      <w:r w:rsidR="00C81717">
        <w:t xml:space="preserve">Appendix B contains the FSL achievement rates for each utility, by industry group. </w:t>
      </w:r>
      <w:r w:rsidR="007772B0">
        <w:t xml:space="preserve">The additional appendices are </w:t>
      </w:r>
      <w:r>
        <w:t>Excel file</w:t>
      </w:r>
      <w:r w:rsidR="007772B0">
        <w:t>s</w:t>
      </w:r>
      <w:r>
        <w:t xml:space="preserve"> that can produce the tables required by the Protocols.</w:t>
      </w:r>
      <w:r w:rsidR="00891D9B">
        <w:t xml:space="preserve"> Note that Appendices E and H are not provided as publicly available files due to confidentiality concerns.</w:t>
      </w:r>
    </w:p>
    <w:p w14:paraId="1B9411D5" w14:textId="77777777" w:rsidR="007772B0" w:rsidRDefault="007772B0" w:rsidP="00EA09F4"/>
    <w:p w14:paraId="1A7CD6B9" w14:textId="4BE128C3" w:rsidR="00EA09F4" w:rsidRDefault="007772B0" w:rsidP="00EA09F4">
      <w:r>
        <w:t>B</w:t>
      </w:r>
      <w:r w:rsidR="00605B52">
        <w:t>I</w:t>
      </w:r>
      <w:r w:rsidR="00C81717">
        <w:t>P Study Appendix C</w:t>
      </w:r>
      <w:r w:rsidR="00EA09F4">
        <w:t xml:space="preserve"> </w:t>
      </w:r>
      <w:r w:rsidR="008A4F55">
        <w:tab/>
      </w:r>
      <w:r w:rsidR="008A4F55">
        <w:tab/>
      </w:r>
      <w:r w:rsidR="00EA09F4">
        <w:t>PG&amp;E</w:t>
      </w:r>
      <w:r w:rsidR="008A4F55">
        <w:t xml:space="preserve"> </w:t>
      </w:r>
      <w:r w:rsidR="00EA09F4">
        <w:t>Ex-Post Load Impact Tables</w:t>
      </w:r>
    </w:p>
    <w:p w14:paraId="42462F7A" w14:textId="5D6362C7" w:rsidR="00EA09F4" w:rsidRDefault="007772B0" w:rsidP="00EA09F4">
      <w:r>
        <w:t>B</w:t>
      </w:r>
      <w:r w:rsidR="00605B52">
        <w:t>I</w:t>
      </w:r>
      <w:r w:rsidR="00C81717">
        <w:t>P Study Appendix D</w:t>
      </w:r>
      <w:r w:rsidR="00EA09F4">
        <w:t xml:space="preserve"> </w:t>
      </w:r>
      <w:r w:rsidR="008A4F55">
        <w:tab/>
      </w:r>
      <w:r w:rsidR="008A4F55">
        <w:tab/>
      </w:r>
      <w:r w:rsidR="00EA09F4">
        <w:t>SCE</w:t>
      </w:r>
      <w:r w:rsidR="008A4F55">
        <w:t xml:space="preserve"> </w:t>
      </w:r>
      <w:r w:rsidR="00EA09F4">
        <w:t>Ex-Post Load Impact Tables</w:t>
      </w:r>
    </w:p>
    <w:p w14:paraId="199844F9" w14:textId="6607E4B2" w:rsidR="008A4F55" w:rsidRDefault="007772B0" w:rsidP="008A4F55">
      <w:r>
        <w:t>B</w:t>
      </w:r>
      <w:r w:rsidR="00605B52">
        <w:t>I</w:t>
      </w:r>
      <w:r w:rsidR="00C81717">
        <w:t>P Study Appendix E</w:t>
      </w:r>
      <w:r w:rsidR="008A4F55">
        <w:t xml:space="preserve"> </w:t>
      </w:r>
      <w:r w:rsidR="008A4F55">
        <w:tab/>
      </w:r>
      <w:r w:rsidR="008A4F55">
        <w:tab/>
        <w:t>SDG&amp;E Ex-Post Load Impact Tables</w:t>
      </w:r>
    </w:p>
    <w:p w14:paraId="019ABC48" w14:textId="65DF6AC0" w:rsidR="00AF221D" w:rsidRDefault="007772B0" w:rsidP="00AF221D">
      <w:r>
        <w:t>B</w:t>
      </w:r>
      <w:r w:rsidR="00605B52">
        <w:t>I</w:t>
      </w:r>
      <w:r w:rsidR="00C81717">
        <w:t>P Study Appendix F</w:t>
      </w:r>
      <w:r w:rsidR="00AF221D">
        <w:t xml:space="preserve"> </w:t>
      </w:r>
      <w:r w:rsidR="00AF221D">
        <w:tab/>
      </w:r>
      <w:r w:rsidR="00AF221D">
        <w:tab/>
        <w:t>PG&amp;E Ex-Ante Load Impact Tables</w:t>
      </w:r>
    </w:p>
    <w:p w14:paraId="2835D5FF" w14:textId="300EAFE6" w:rsidR="00AF221D" w:rsidRDefault="007772B0" w:rsidP="00AF221D">
      <w:r>
        <w:t>B</w:t>
      </w:r>
      <w:r w:rsidR="00605B52">
        <w:t>I</w:t>
      </w:r>
      <w:r w:rsidR="00C81717">
        <w:t>P Study Appendix G</w:t>
      </w:r>
      <w:r w:rsidR="00AF221D">
        <w:t xml:space="preserve"> </w:t>
      </w:r>
      <w:r w:rsidR="00AF221D">
        <w:tab/>
      </w:r>
      <w:r w:rsidR="00AF221D">
        <w:tab/>
        <w:t>SCE Ex-Ante Load Impact Tables</w:t>
      </w:r>
    </w:p>
    <w:p w14:paraId="345F6830" w14:textId="25D5FF50" w:rsidR="002234C5" w:rsidRDefault="007772B0" w:rsidP="00EA09F4">
      <w:r>
        <w:t>B</w:t>
      </w:r>
      <w:r w:rsidR="00605B52">
        <w:t>I</w:t>
      </w:r>
      <w:r w:rsidR="00C81717">
        <w:t>P Study Appendix H</w:t>
      </w:r>
      <w:r w:rsidR="00AF221D">
        <w:t xml:space="preserve"> </w:t>
      </w:r>
      <w:r w:rsidR="00AF221D">
        <w:tab/>
      </w:r>
      <w:r w:rsidR="00AF221D">
        <w:tab/>
        <w:t>S</w:t>
      </w:r>
      <w:r w:rsidR="008F52A8">
        <w:t>DG&amp;E Ex-Ante Load Impact Tables</w:t>
      </w:r>
    </w:p>
    <w:p w14:paraId="4B2CC288" w14:textId="77777777" w:rsidR="007772B0" w:rsidRDefault="007772B0" w:rsidP="00EA09F4"/>
    <w:p w14:paraId="0F2FA95F" w14:textId="77777777" w:rsidR="007772B0" w:rsidRDefault="007772B0" w:rsidP="007772B0">
      <w:pPr>
        <w:pStyle w:val="Heading1"/>
      </w:pPr>
      <w:r>
        <w:br w:type="page"/>
      </w:r>
      <w:bookmarkStart w:id="257" w:name="_Toc415488992"/>
      <w:r>
        <w:lastRenderedPageBreak/>
        <w:t>Appendix A</w:t>
      </w:r>
      <w:r w:rsidRPr="002A17C1">
        <w:t>. Validity Assessment</w:t>
      </w:r>
      <w:bookmarkEnd w:id="257"/>
    </w:p>
    <w:p w14:paraId="32816818" w14:textId="77777777" w:rsidR="007772B0" w:rsidRDefault="007772B0" w:rsidP="007772B0">
      <w:pPr>
        <w:pStyle w:val="Heading2"/>
      </w:pPr>
      <w:bookmarkStart w:id="258" w:name="_Toc314830418"/>
      <w:bookmarkStart w:id="259" w:name="_Toc415488993"/>
      <w:r>
        <w:t>A.1 Model Specification Tests</w:t>
      </w:r>
      <w:bookmarkEnd w:id="258"/>
      <w:bookmarkEnd w:id="259"/>
    </w:p>
    <w:p w14:paraId="29833E9B" w14:textId="138D263B" w:rsidR="007772B0" w:rsidRDefault="007772B0" w:rsidP="007772B0">
      <w:pPr>
        <w:spacing w:after="120"/>
      </w:pPr>
      <w:r>
        <w:t>A range of model specifications were tested before arriving at the model</w:t>
      </w:r>
      <w:r w:rsidR="00894868">
        <w:t>s</w:t>
      </w:r>
      <w:r>
        <w:t xml:space="preserve"> used in the ex post load impact analysis. The basic structure of the model is shown in Section 3.2.1. The tests are conducted using average-customer data (by utility) rather than at the individual customer level. </w:t>
      </w:r>
      <w:r w:rsidRPr="00CE0406">
        <w:t xml:space="preserve">Model variations </w:t>
      </w:r>
      <w:r>
        <w:t xml:space="preserve">include </w:t>
      </w:r>
      <w:r w:rsidR="0078642D">
        <w:t>21</w:t>
      </w:r>
      <w:r>
        <w:t xml:space="preserve"> different combinations of weather variables</w:t>
      </w:r>
      <w:r w:rsidR="00894868">
        <w:t xml:space="preserve"> for summer models and 11 different combinations for non-summer models</w:t>
      </w:r>
      <w:r>
        <w:t>. The weather variables include: temperature-humidity index (THI)</w:t>
      </w:r>
      <w:r>
        <w:rPr>
          <w:rStyle w:val="FootnoteReference"/>
        </w:rPr>
        <w:footnoteReference w:id="13"/>
      </w:r>
      <w:r>
        <w:t>; the 24-hour moving average of THI; heat index (HI)</w:t>
      </w:r>
      <w:r>
        <w:rPr>
          <w:rStyle w:val="FootnoteReference"/>
        </w:rPr>
        <w:footnoteReference w:id="14"/>
      </w:r>
      <w:r>
        <w:t>; the 24-hour moving average of HI; cooling degree hours (CDH)</w:t>
      </w:r>
      <w:r>
        <w:rPr>
          <w:rStyle w:val="FootnoteReference"/>
        </w:rPr>
        <w:footnoteReference w:id="15"/>
      </w:r>
      <w:r>
        <w:t>; the 3-hour moving average of CDH; the 24-hour moving average of CDH;</w:t>
      </w:r>
      <w:r w:rsidR="00894868">
        <w:t xml:space="preserve"> heating degree hours (HDH)</w:t>
      </w:r>
      <w:r w:rsidR="00894868">
        <w:rPr>
          <w:rStyle w:val="FootnoteReference"/>
        </w:rPr>
        <w:footnoteReference w:id="16"/>
      </w:r>
      <w:r w:rsidR="00894868">
        <w:t>; the 24-hour moving average of HDH;</w:t>
      </w:r>
      <w:r>
        <w:t xml:space="preserve"> the one-day lag of cooling degree days (CDD)</w:t>
      </w:r>
      <w:r>
        <w:rPr>
          <w:rStyle w:val="FootnoteReference"/>
        </w:rPr>
        <w:footnoteReference w:id="17"/>
      </w:r>
      <w:r w:rsidR="00175FA8">
        <w:t xml:space="preserve">; </w:t>
      </w:r>
      <w:r w:rsidR="00894868">
        <w:t>the one-day lag of heating degree days (HDD)</w:t>
      </w:r>
      <w:r w:rsidR="00894868">
        <w:rPr>
          <w:rStyle w:val="FootnoteReference"/>
        </w:rPr>
        <w:footnoteReference w:id="18"/>
      </w:r>
      <w:r w:rsidR="00894868">
        <w:t xml:space="preserve">; </w:t>
      </w:r>
      <w:r w:rsidR="00175FA8">
        <w:t>and the average of the temperatures in degrees Fahrenheit during the first 17 hours of the day (Mean17)</w:t>
      </w:r>
      <w:r w:rsidR="00894868">
        <w:t xml:space="preserve">. </w:t>
      </w:r>
      <w:r w:rsidR="005B7EAD">
        <w:t xml:space="preserve">For CDH, HDH, CDD, and HDD, both 60 and 65 degree Fahrenheit thresholds are used. </w:t>
      </w:r>
      <w:r w:rsidR="00894868">
        <w:t xml:space="preserve">A list of all </w:t>
      </w:r>
      <w:r>
        <w:t>combinations of t</w:t>
      </w:r>
      <w:r w:rsidR="009E1D86">
        <w:t>hese variables that we tested is</w:t>
      </w:r>
      <w:r>
        <w:t xml:space="preserve"> provided in Table A.1.</w:t>
      </w:r>
    </w:p>
    <w:p w14:paraId="2B058AA4" w14:textId="77777777" w:rsidR="007772B0" w:rsidRDefault="007772B0" w:rsidP="007772B0">
      <w:pPr>
        <w:spacing w:after="120"/>
      </w:pPr>
    </w:p>
    <w:p w14:paraId="0EA47040" w14:textId="77777777" w:rsidR="007772B0" w:rsidRPr="0088530C" w:rsidRDefault="007772B0" w:rsidP="007772B0">
      <w:pPr>
        <w:pStyle w:val="TableCaption"/>
        <w:keepNext/>
        <w:keepLines/>
      </w:pPr>
      <w:bookmarkStart w:id="260" w:name="_Toc415489040"/>
      <w:r w:rsidRPr="0088530C">
        <w:lastRenderedPageBreak/>
        <w:t xml:space="preserve">Table </w:t>
      </w:r>
      <w:r>
        <w:t>A</w:t>
      </w:r>
      <w:r w:rsidRPr="0088530C">
        <w:t>.1: Weather Variables Included in the Tested Specifications</w:t>
      </w:r>
      <w:bookmarkEnd w:id="26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2740"/>
        <w:gridCol w:w="4274"/>
      </w:tblGrid>
      <w:tr w:rsidR="00DC179D" w14:paraId="0C9E4C58" w14:textId="1A8A65D7" w:rsidTr="00A818C7">
        <w:trPr>
          <w:jc w:val="center"/>
        </w:trPr>
        <w:tc>
          <w:tcPr>
            <w:tcW w:w="0" w:type="auto"/>
            <w:vMerge w:val="restart"/>
            <w:shd w:val="clear" w:color="auto" w:fill="D9E2F3"/>
            <w:vAlign w:val="center"/>
          </w:tcPr>
          <w:p w14:paraId="55730357" w14:textId="77777777" w:rsidR="00DC179D" w:rsidRPr="00AA745A" w:rsidRDefault="00DC179D" w:rsidP="009A32A4">
            <w:pPr>
              <w:keepNext/>
              <w:keepLines/>
              <w:jc w:val="center"/>
              <w:rPr>
                <w:rFonts w:ascii="Arial" w:hAnsi="Arial" w:cs="Arial"/>
                <w:b/>
                <w:sz w:val="20"/>
                <w:szCs w:val="20"/>
              </w:rPr>
            </w:pPr>
            <w:r w:rsidRPr="00AA745A">
              <w:rPr>
                <w:rFonts w:ascii="Arial" w:hAnsi="Arial" w:cs="Arial"/>
                <w:b/>
                <w:sz w:val="20"/>
                <w:szCs w:val="20"/>
              </w:rPr>
              <w:t>Model Number</w:t>
            </w:r>
          </w:p>
        </w:tc>
        <w:tc>
          <w:tcPr>
            <w:tcW w:w="0" w:type="auto"/>
            <w:gridSpan w:val="2"/>
            <w:shd w:val="clear" w:color="auto" w:fill="D9E2F3"/>
          </w:tcPr>
          <w:p w14:paraId="4A71A62C" w14:textId="487C1F46" w:rsidR="00DC179D" w:rsidRPr="00AA745A" w:rsidRDefault="00DC179D" w:rsidP="00DC179D">
            <w:pPr>
              <w:keepNext/>
              <w:keepLines/>
              <w:jc w:val="center"/>
              <w:rPr>
                <w:rFonts w:ascii="Arial" w:hAnsi="Arial" w:cs="Arial"/>
                <w:b/>
                <w:sz w:val="20"/>
                <w:szCs w:val="20"/>
              </w:rPr>
            </w:pPr>
            <w:r w:rsidRPr="00AA745A">
              <w:rPr>
                <w:rFonts w:ascii="Arial" w:hAnsi="Arial" w:cs="Arial"/>
                <w:b/>
                <w:sz w:val="20"/>
                <w:szCs w:val="20"/>
              </w:rPr>
              <w:t>Included Weather Variables</w:t>
            </w:r>
          </w:p>
        </w:tc>
      </w:tr>
      <w:tr w:rsidR="00DC179D" w14:paraId="096DCCE1" w14:textId="77777777" w:rsidTr="00A818C7">
        <w:trPr>
          <w:jc w:val="center"/>
        </w:trPr>
        <w:tc>
          <w:tcPr>
            <w:tcW w:w="0" w:type="auto"/>
            <w:vMerge/>
            <w:shd w:val="clear" w:color="auto" w:fill="D9E2F3"/>
          </w:tcPr>
          <w:p w14:paraId="1077156A" w14:textId="77777777" w:rsidR="00DC179D" w:rsidRPr="00AA745A" w:rsidRDefault="00DC179D" w:rsidP="009A32A4">
            <w:pPr>
              <w:keepNext/>
              <w:keepLines/>
              <w:jc w:val="center"/>
              <w:rPr>
                <w:rFonts w:ascii="Arial" w:hAnsi="Arial" w:cs="Arial"/>
                <w:b/>
                <w:sz w:val="20"/>
                <w:szCs w:val="20"/>
              </w:rPr>
            </w:pPr>
          </w:p>
        </w:tc>
        <w:tc>
          <w:tcPr>
            <w:tcW w:w="0" w:type="auto"/>
            <w:shd w:val="clear" w:color="auto" w:fill="D9E2F3"/>
          </w:tcPr>
          <w:p w14:paraId="437D3842" w14:textId="5CC8A0F0" w:rsidR="00DC179D" w:rsidRPr="00AA745A" w:rsidRDefault="00DC179D" w:rsidP="00DC179D">
            <w:pPr>
              <w:keepNext/>
              <w:keepLines/>
              <w:jc w:val="center"/>
              <w:rPr>
                <w:rFonts w:ascii="Arial" w:hAnsi="Arial" w:cs="Arial"/>
                <w:b/>
                <w:sz w:val="20"/>
                <w:szCs w:val="20"/>
              </w:rPr>
            </w:pPr>
            <w:r>
              <w:rPr>
                <w:rFonts w:ascii="Arial" w:hAnsi="Arial" w:cs="Arial"/>
                <w:b/>
                <w:sz w:val="20"/>
                <w:szCs w:val="20"/>
              </w:rPr>
              <w:t>Summer</w:t>
            </w:r>
          </w:p>
        </w:tc>
        <w:tc>
          <w:tcPr>
            <w:tcW w:w="0" w:type="auto"/>
            <w:shd w:val="clear" w:color="auto" w:fill="D9E2F3"/>
          </w:tcPr>
          <w:p w14:paraId="35E41105" w14:textId="17D2EF3B" w:rsidR="00DC179D" w:rsidRPr="00AA745A" w:rsidRDefault="00DC179D" w:rsidP="00DC179D">
            <w:pPr>
              <w:keepNext/>
              <w:keepLines/>
              <w:jc w:val="center"/>
              <w:rPr>
                <w:rFonts w:ascii="Arial" w:hAnsi="Arial" w:cs="Arial"/>
                <w:b/>
                <w:sz w:val="20"/>
                <w:szCs w:val="20"/>
              </w:rPr>
            </w:pPr>
            <w:r>
              <w:rPr>
                <w:rFonts w:ascii="Arial" w:hAnsi="Arial" w:cs="Arial"/>
                <w:b/>
                <w:sz w:val="20"/>
                <w:szCs w:val="20"/>
              </w:rPr>
              <w:t>Non-Summer</w:t>
            </w:r>
          </w:p>
        </w:tc>
      </w:tr>
      <w:tr w:rsidR="00DC179D" w14:paraId="134AB972" w14:textId="0500C140" w:rsidTr="00A818C7">
        <w:trPr>
          <w:jc w:val="center"/>
        </w:trPr>
        <w:tc>
          <w:tcPr>
            <w:tcW w:w="0" w:type="auto"/>
            <w:shd w:val="clear" w:color="auto" w:fill="auto"/>
          </w:tcPr>
          <w:p w14:paraId="2FE3788D"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1</w:t>
            </w:r>
          </w:p>
        </w:tc>
        <w:tc>
          <w:tcPr>
            <w:tcW w:w="0" w:type="auto"/>
            <w:shd w:val="clear" w:color="auto" w:fill="auto"/>
          </w:tcPr>
          <w:p w14:paraId="449495FC"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THI</w:t>
            </w:r>
          </w:p>
        </w:tc>
        <w:tc>
          <w:tcPr>
            <w:tcW w:w="0" w:type="auto"/>
          </w:tcPr>
          <w:p w14:paraId="090270DF" w14:textId="40CBB6AE" w:rsidR="00DC179D" w:rsidRPr="00AA745A" w:rsidRDefault="00DC179D" w:rsidP="009A32A4">
            <w:pPr>
              <w:keepNext/>
              <w:keepLines/>
              <w:rPr>
                <w:rFonts w:ascii="Arial" w:hAnsi="Arial" w:cs="Arial"/>
                <w:sz w:val="20"/>
                <w:szCs w:val="20"/>
              </w:rPr>
            </w:pPr>
            <w:r w:rsidRPr="00AA745A">
              <w:rPr>
                <w:rFonts w:ascii="Arial" w:hAnsi="Arial" w:cs="Arial"/>
                <w:sz w:val="20"/>
                <w:szCs w:val="20"/>
              </w:rPr>
              <w:t>CDH60</w:t>
            </w:r>
            <w:r>
              <w:rPr>
                <w:rFonts w:ascii="Arial" w:hAnsi="Arial" w:cs="Arial"/>
                <w:sz w:val="20"/>
                <w:szCs w:val="20"/>
              </w:rPr>
              <w:t xml:space="preserve"> H</w:t>
            </w:r>
            <w:r w:rsidRPr="00AA745A">
              <w:rPr>
                <w:rFonts w:ascii="Arial" w:hAnsi="Arial" w:cs="Arial"/>
                <w:sz w:val="20"/>
                <w:szCs w:val="20"/>
              </w:rPr>
              <w:t>DH60</w:t>
            </w:r>
          </w:p>
        </w:tc>
      </w:tr>
      <w:tr w:rsidR="00DC179D" w14:paraId="514C9E27" w14:textId="3DB0CC77" w:rsidTr="00A818C7">
        <w:trPr>
          <w:jc w:val="center"/>
        </w:trPr>
        <w:tc>
          <w:tcPr>
            <w:tcW w:w="0" w:type="auto"/>
            <w:shd w:val="clear" w:color="auto" w:fill="auto"/>
          </w:tcPr>
          <w:p w14:paraId="34B8F62C"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2</w:t>
            </w:r>
          </w:p>
        </w:tc>
        <w:tc>
          <w:tcPr>
            <w:tcW w:w="0" w:type="auto"/>
            <w:shd w:val="clear" w:color="auto" w:fill="auto"/>
          </w:tcPr>
          <w:p w14:paraId="36C8D2D2"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HI</w:t>
            </w:r>
          </w:p>
        </w:tc>
        <w:tc>
          <w:tcPr>
            <w:tcW w:w="0" w:type="auto"/>
          </w:tcPr>
          <w:p w14:paraId="42A0C693" w14:textId="3EDE5602" w:rsidR="00DC179D" w:rsidRPr="00AA745A" w:rsidRDefault="00DC179D" w:rsidP="00DC179D">
            <w:pPr>
              <w:keepNext/>
              <w:keepLines/>
              <w:rPr>
                <w:rFonts w:ascii="Arial" w:hAnsi="Arial" w:cs="Arial"/>
                <w:sz w:val="20"/>
                <w:szCs w:val="20"/>
              </w:rPr>
            </w:pPr>
            <w:r w:rsidRPr="00AA745A">
              <w:rPr>
                <w:rFonts w:ascii="Arial" w:hAnsi="Arial" w:cs="Arial"/>
                <w:sz w:val="20"/>
                <w:szCs w:val="20"/>
              </w:rPr>
              <w:t>CDH6</w:t>
            </w:r>
            <w:r>
              <w:rPr>
                <w:rFonts w:ascii="Arial" w:hAnsi="Arial" w:cs="Arial"/>
                <w:sz w:val="20"/>
                <w:szCs w:val="20"/>
              </w:rPr>
              <w:t>5 H</w:t>
            </w:r>
            <w:r w:rsidRPr="00AA745A">
              <w:rPr>
                <w:rFonts w:ascii="Arial" w:hAnsi="Arial" w:cs="Arial"/>
                <w:sz w:val="20"/>
                <w:szCs w:val="20"/>
              </w:rPr>
              <w:t>DH6</w:t>
            </w:r>
            <w:r>
              <w:rPr>
                <w:rFonts w:ascii="Arial" w:hAnsi="Arial" w:cs="Arial"/>
                <w:sz w:val="20"/>
                <w:szCs w:val="20"/>
              </w:rPr>
              <w:t>5</w:t>
            </w:r>
          </w:p>
        </w:tc>
      </w:tr>
      <w:tr w:rsidR="00DC179D" w:rsidRPr="00D06F92" w14:paraId="5AE585B8" w14:textId="2CEECAF9" w:rsidTr="00A818C7">
        <w:trPr>
          <w:jc w:val="center"/>
        </w:trPr>
        <w:tc>
          <w:tcPr>
            <w:tcW w:w="0" w:type="auto"/>
            <w:shd w:val="clear" w:color="auto" w:fill="auto"/>
          </w:tcPr>
          <w:p w14:paraId="035C0C2C"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3</w:t>
            </w:r>
          </w:p>
        </w:tc>
        <w:tc>
          <w:tcPr>
            <w:tcW w:w="0" w:type="auto"/>
            <w:shd w:val="clear" w:color="auto" w:fill="auto"/>
          </w:tcPr>
          <w:p w14:paraId="7D4BAAD4"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CDH60</w:t>
            </w:r>
          </w:p>
        </w:tc>
        <w:tc>
          <w:tcPr>
            <w:tcW w:w="0" w:type="auto"/>
          </w:tcPr>
          <w:p w14:paraId="5FED7691" w14:textId="15B6EFA2" w:rsidR="00DC179D" w:rsidRPr="00A11E7E" w:rsidRDefault="00DC179D" w:rsidP="009A32A4">
            <w:pPr>
              <w:keepNext/>
              <w:keepLines/>
              <w:rPr>
                <w:rFonts w:ascii="Arial" w:hAnsi="Arial" w:cs="Arial"/>
                <w:sz w:val="20"/>
                <w:szCs w:val="20"/>
              </w:rPr>
            </w:pPr>
            <w:r w:rsidRPr="00A11E7E">
              <w:rPr>
                <w:rFonts w:ascii="Arial" w:hAnsi="Arial" w:cs="Arial"/>
                <w:sz w:val="20"/>
                <w:szCs w:val="20"/>
              </w:rPr>
              <w:t>CDH60 CDH60_MA24 HDH60 HDH60_MA24</w:t>
            </w:r>
          </w:p>
        </w:tc>
      </w:tr>
      <w:tr w:rsidR="00DC179D" w:rsidRPr="00D06F92" w14:paraId="2DC4C588" w14:textId="33EA76C9" w:rsidTr="00A818C7">
        <w:trPr>
          <w:jc w:val="center"/>
        </w:trPr>
        <w:tc>
          <w:tcPr>
            <w:tcW w:w="0" w:type="auto"/>
            <w:shd w:val="clear" w:color="auto" w:fill="auto"/>
          </w:tcPr>
          <w:p w14:paraId="3247C3AE"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4</w:t>
            </w:r>
          </w:p>
        </w:tc>
        <w:tc>
          <w:tcPr>
            <w:tcW w:w="0" w:type="auto"/>
            <w:shd w:val="clear" w:color="auto" w:fill="auto"/>
          </w:tcPr>
          <w:p w14:paraId="062AA9E7"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CDH65</w:t>
            </w:r>
          </w:p>
        </w:tc>
        <w:tc>
          <w:tcPr>
            <w:tcW w:w="0" w:type="auto"/>
          </w:tcPr>
          <w:p w14:paraId="44DBDC41" w14:textId="2613D4AC" w:rsidR="00DC179D" w:rsidRPr="00A11E7E" w:rsidRDefault="00DC179D" w:rsidP="009A32A4">
            <w:pPr>
              <w:keepNext/>
              <w:keepLines/>
              <w:rPr>
                <w:rFonts w:ascii="Arial" w:hAnsi="Arial" w:cs="Arial"/>
                <w:sz w:val="20"/>
                <w:szCs w:val="20"/>
              </w:rPr>
            </w:pPr>
            <w:r w:rsidRPr="00A11E7E">
              <w:rPr>
                <w:rFonts w:ascii="Arial" w:hAnsi="Arial" w:cs="Arial"/>
                <w:sz w:val="20"/>
                <w:szCs w:val="20"/>
              </w:rPr>
              <w:t>CDH65 CDH64_MA24 HDH65 HDH65_MA24</w:t>
            </w:r>
          </w:p>
        </w:tc>
      </w:tr>
      <w:tr w:rsidR="00DC179D" w14:paraId="14F9FC9C" w14:textId="419D7E48" w:rsidTr="00A818C7">
        <w:trPr>
          <w:jc w:val="center"/>
        </w:trPr>
        <w:tc>
          <w:tcPr>
            <w:tcW w:w="0" w:type="auto"/>
            <w:shd w:val="clear" w:color="auto" w:fill="auto"/>
          </w:tcPr>
          <w:p w14:paraId="70DAB83D"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5</w:t>
            </w:r>
          </w:p>
        </w:tc>
        <w:tc>
          <w:tcPr>
            <w:tcW w:w="0" w:type="auto"/>
            <w:shd w:val="clear" w:color="auto" w:fill="auto"/>
          </w:tcPr>
          <w:p w14:paraId="11DAE117"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CDH60_MA3</w:t>
            </w:r>
          </w:p>
        </w:tc>
        <w:tc>
          <w:tcPr>
            <w:tcW w:w="0" w:type="auto"/>
          </w:tcPr>
          <w:p w14:paraId="520273BC" w14:textId="0A64D1D9" w:rsidR="00DC179D" w:rsidRPr="00AA745A" w:rsidRDefault="00DC179D" w:rsidP="00DC179D">
            <w:pPr>
              <w:keepNext/>
              <w:keepLines/>
              <w:rPr>
                <w:rFonts w:ascii="Arial" w:hAnsi="Arial" w:cs="Arial"/>
                <w:sz w:val="20"/>
                <w:szCs w:val="20"/>
              </w:rPr>
            </w:pPr>
            <w:r w:rsidRPr="00AA745A">
              <w:rPr>
                <w:rFonts w:ascii="Arial" w:hAnsi="Arial" w:cs="Arial"/>
                <w:sz w:val="20"/>
                <w:szCs w:val="20"/>
              </w:rPr>
              <w:t>CDH60</w:t>
            </w:r>
            <w:r>
              <w:rPr>
                <w:rFonts w:ascii="Arial" w:hAnsi="Arial" w:cs="Arial"/>
                <w:sz w:val="20"/>
                <w:szCs w:val="20"/>
              </w:rPr>
              <w:t xml:space="preserve"> CDD</w:t>
            </w:r>
            <w:r w:rsidRPr="00AA745A">
              <w:rPr>
                <w:rFonts w:ascii="Arial" w:hAnsi="Arial" w:cs="Arial"/>
                <w:sz w:val="20"/>
                <w:szCs w:val="20"/>
              </w:rPr>
              <w:t>60</w:t>
            </w:r>
            <w:r>
              <w:rPr>
                <w:rFonts w:ascii="Arial" w:hAnsi="Arial" w:cs="Arial"/>
                <w:sz w:val="20"/>
                <w:szCs w:val="20"/>
              </w:rPr>
              <w:t xml:space="preserve"> HDH60 HDD60</w:t>
            </w:r>
          </w:p>
        </w:tc>
      </w:tr>
      <w:tr w:rsidR="00DC179D" w14:paraId="585FD783" w14:textId="431EDC7F" w:rsidTr="00A818C7">
        <w:trPr>
          <w:jc w:val="center"/>
        </w:trPr>
        <w:tc>
          <w:tcPr>
            <w:tcW w:w="0" w:type="auto"/>
            <w:shd w:val="clear" w:color="auto" w:fill="auto"/>
          </w:tcPr>
          <w:p w14:paraId="555CAA90"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6</w:t>
            </w:r>
          </w:p>
        </w:tc>
        <w:tc>
          <w:tcPr>
            <w:tcW w:w="0" w:type="auto"/>
            <w:shd w:val="clear" w:color="auto" w:fill="auto"/>
          </w:tcPr>
          <w:p w14:paraId="5F083180"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CDH65_MA3</w:t>
            </w:r>
          </w:p>
        </w:tc>
        <w:tc>
          <w:tcPr>
            <w:tcW w:w="0" w:type="auto"/>
          </w:tcPr>
          <w:p w14:paraId="11FDCEE1" w14:textId="1C7BFC8E" w:rsidR="00DC179D" w:rsidRPr="00AA745A" w:rsidRDefault="00DC179D" w:rsidP="00DC179D">
            <w:pPr>
              <w:keepNext/>
              <w:keepLines/>
              <w:rPr>
                <w:rFonts w:ascii="Arial" w:hAnsi="Arial" w:cs="Arial"/>
                <w:sz w:val="20"/>
                <w:szCs w:val="20"/>
              </w:rPr>
            </w:pPr>
            <w:r>
              <w:rPr>
                <w:rFonts w:ascii="Arial" w:hAnsi="Arial" w:cs="Arial"/>
                <w:sz w:val="20"/>
                <w:szCs w:val="20"/>
              </w:rPr>
              <w:t>CDH65 CDD</w:t>
            </w:r>
            <w:r w:rsidRPr="00AA745A">
              <w:rPr>
                <w:rFonts w:ascii="Arial" w:hAnsi="Arial" w:cs="Arial"/>
                <w:sz w:val="20"/>
                <w:szCs w:val="20"/>
              </w:rPr>
              <w:t>6</w:t>
            </w:r>
            <w:r>
              <w:rPr>
                <w:rFonts w:ascii="Arial" w:hAnsi="Arial" w:cs="Arial"/>
                <w:sz w:val="20"/>
                <w:szCs w:val="20"/>
              </w:rPr>
              <w:t>5 HDH65 HDD65</w:t>
            </w:r>
          </w:p>
        </w:tc>
      </w:tr>
      <w:tr w:rsidR="00DC179D" w14:paraId="39127455" w14:textId="50F63FF1" w:rsidTr="00A818C7">
        <w:trPr>
          <w:jc w:val="center"/>
        </w:trPr>
        <w:tc>
          <w:tcPr>
            <w:tcW w:w="0" w:type="auto"/>
            <w:shd w:val="clear" w:color="auto" w:fill="auto"/>
          </w:tcPr>
          <w:p w14:paraId="6FDB9886"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7</w:t>
            </w:r>
          </w:p>
        </w:tc>
        <w:tc>
          <w:tcPr>
            <w:tcW w:w="0" w:type="auto"/>
            <w:shd w:val="clear" w:color="auto" w:fill="auto"/>
          </w:tcPr>
          <w:p w14:paraId="56774803"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THI THI_MA24</w:t>
            </w:r>
          </w:p>
        </w:tc>
        <w:tc>
          <w:tcPr>
            <w:tcW w:w="0" w:type="auto"/>
          </w:tcPr>
          <w:p w14:paraId="11FFCEDB" w14:textId="2ABDB3FF" w:rsidR="00DC179D" w:rsidRPr="00AA745A" w:rsidRDefault="00DC179D" w:rsidP="009A32A4">
            <w:pPr>
              <w:keepNext/>
              <w:keepLines/>
              <w:rPr>
                <w:rFonts w:ascii="Arial" w:hAnsi="Arial" w:cs="Arial"/>
                <w:sz w:val="20"/>
                <w:szCs w:val="20"/>
              </w:rPr>
            </w:pPr>
            <w:r w:rsidRPr="00AA745A">
              <w:rPr>
                <w:rFonts w:ascii="Arial" w:hAnsi="Arial" w:cs="Arial"/>
                <w:sz w:val="20"/>
                <w:szCs w:val="20"/>
              </w:rPr>
              <w:t>CDH60</w:t>
            </w:r>
            <w:r>
              <w:rPr>
                <w:rFonts w:ascii="Arial" w:hAnsi="Arial" w:cs="Arial"/>
                <w:sz w:val="20"/>
                <w:szCs w:val="20"/>
              </w:rPr>
              <w:t xml:space="preserve"> Lag_CDD</w:t>
            </w:r>
            <w:r w:rsidRPr="00AA745A">
              <w:rPr>
                <w:rFonts w:ascii="Arial" w:hAnsi="Arial" w:cs="Arial"/>
                <w:sz w:val="20"/>
                <w:szCs w:val="20"/>
              </w:rPr>
              <w:t>60</w:t>
            </w:r>
            <w:r>
              <w:rPr>
                <w:rFonts w:ascii="Arial" w:hAnsi="Arial" w:cs="Arial"/>
                <w:sz w:val="20"/>
                <w:szCs w:val="20"/>
              </w:rPr>
              <w:t xml:space="preserve"> HDH60 Lag_HDD60</w:t>
            </w:r>
          </w:p>
        </w:tc>
      </w:tr>
      <w:tr w:rsidR="00DC179D" w14:paraId="4CAAF2A0" w14:textId="1DAF53EB" w:rsidTr="00A818C7">
        <w:trPr>
          <w:jc w:val="center"/>
        </w:trPr>
        <w:tc>
          <w:tcPr>
            <w:tcW w:w="0" w:type="auto"/>
            <w:shd w:val="clear" w:color="auto" w:fill="auto"/>
          </w:tcPr>
          <w:p w14:paraId="1405A12C"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8</w:t>
            </w:r>
          </w:p>
        </w:tc>
        <w:tc>
          <w:tcPr>
            <w:tcW w:w="0" w:type="auto"/>
            <w:shd w:val="clear" w:color="auto" w:fill="auto"/>
          </w:tcPr>
          <w:p w14:paraId="3704C29E"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HI HI_MA24</w:t>
            </w:r>
          </w:p>
        </w:tc>
        <w:tc>
          <w:tcPr>
            <w:tcW w:w="0" w:type="auto"/>
          </w:tcPr>
          <w:p w14:paraId="6A33263A" w14:textId="14E8652B" w:rsidR="00DC179D" w:rsidRPr="00AA745A" w:rsidRDefault="00DC179D" w:rsidP="00DC179D">
            <w:pPr>
              <w:keepNext/>
              <w:keepLines/>
              <w:rPr>
                <w:rFonts w:ascii="Arial" w:hAnsi="Arial" w:cs="Arial"/>
                <w:sz w:val="20"/>
                <w:szCs w:val="20"/>
              </w:rPr>
            </w:pPr>
            <w:r>
              <w:rPr>
                <w:rFonts w:ascii="Arial" w:hAnsi="Arial" w:cs="Arial"/>
                <w:sz w:val="20"/>
                <w:szCs w:val="20"/>
              </w:rPr>
              <w:t>CDH65 Lag_CDD</w:t>
            </w:r>
            <w:r w:rsidRPr="00AA745A">
              <w:rPr>
                <w:rFonts w:ascii="Arial" w:hAnsi="Arial" w:cs="Arial"/>
                <w:sz w:val="20"/>
                <w:szCs w:val="20"/>
              </w:rPr>
              <w:t>6</w:t>
            </w:r>
            <w:r>
              <w:rPr>
                <w:rFonts w:ascii="Arial" w:hAnsi="Arial" w:cs="Arial"/>
                <w:sz w:val="20"/>
                <w:szCs w:val="20"/>
              </w:rPr>
              <w:t>5 HDH65 Lag_HDD65</w:t>
            </w:r>
          </w:p>
        </w:tc>
      </w:tr>
      <w:tr w:rsidR="00DC179D" w14:paraId="4CA1D240" w14:textId="474E6054" w:rsidTr="00A818C7">
        <w:trPr>
          <w:jc w:val="center"/>
        </w:trPr>
        <w:tc>
          <w:tcPr>
            <w:tcW w:w="0" w:type="auto"/>
            <w:shd w:val="clear" w:color="auto" w:fill="auto"/>
          </w:tcPr>
          <w:p w14:paraId="552ACC0D"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9</w:t>
            </w:r>
          </w:p>
        </w:tc>
        <w:tc>
          <w:tcPr>
            <w:tcW w:w="0" w:type="auto"/>
            <w:shd w:val="clear" w:color="auto" w:fill="auto"/>
          </w:tcPr>
          <w:p w14:paraId="65E2E616"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CDH60 CDH60_MA24</w:t>
            </w:r>
          </w:p>
        </w:tc>
        <w:tc>
          <w:tcPr>
            <w:tcW w:w="0" w:type="auto"/>
          </w:tcPr>
          <w:p w14:paraId="24D24784" w14:textId="327DCD2E" w:rsidR="00DC179D" w:rsidRPr="00AA745A" w:rsidRDefault="00DC179D" w:rsidP="009A32A4">
            <w:pPr>
              <w:keepNext/>
              <w:keepLines/>
              <w:rPr>
                <w:rFonts w:ascii="Arial" w:hAnsi="Arial" w:cs="Arial"/>
                <w:sz w:val="20"/>
                <w:szCs w:val="20"/>
              </w:rPr>
            </w:pPr>
            <w:r>
              <w:rPr>
                <w:rFonts w:ascii="Arial" w:hAnsi="Arial" w:cs="Arial"/>
                <w:sz w:val="20"/>
                <w:szCs w:val="20"/>
              </w:rPr>
              <w:t>Mean17</w:t>
            </w:r>
          </w:p>
        </w:tc>
      </w:tr>
      <w:tr w:rsidR="00DC179D" w14:paraId="196A5929" w14:textId="320E53FE" w:rsidTr="00A818C7">
        <w:trPr>
          <w:jc w:val="center"/>
        </w:trPr>
        <w:tc>
          <w:tcPr>
            <w:tcW w:w="0" w:type="auto"/>
            <w:shd w:val="clear" w:color="auto" w:fill="auto"/>
          </w:tcPr>
          <w:p w14:paraId="770BCF8B"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10</w:t>
            </w:r>
          </w:p>
        </w:tc>
        <w:tc>
          <w:tcPr>
            <w:tcW w:w="0" w:type="auto"/>
            <w:shd w:val="clear" w:color="auto" w:fill="auto"/>
          </w:tcPr>
          <w:p w14:paraId="1B25EFB9"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CDH65 CDH65_MA24</w:t>
            </w:r>
          </w:p>
        </w:tc>
        <w:tc>
          <w:tcPr>
            <w:tcW w:w="0" w:type="auto"/>
          </w:tcPr>
          <w:p w14:paraId="6AB90439" w14:textId="1F353E25" w:rsidR="00DC179D" w:rsidRPr="00AA745A" w:rsidRDefault="00DC179D" w:rsidP="009A32A4">
            <w:pPr>
              <w:keepNext/>
              <w:keepLines/>
              <w:rPr>
                <w:rFonts w:ascii="Arial" w:hAnsi="Arial" w:cs="Arial"/>
                <w:sz w:val="20"/>
                <w:szCs w:val="20"/>
              </w:rPr>
            </w:pPr>
            <w:r>
              <w:rPr>
                <w:rFonts w:ascii="Arial" w:hAnsi="Arial" w:cs="Arial"/>
                <w:sz w:val="20"/>
                <w:szCs w:val="20"/>
              </w:rPr>
              <w:t>CDH60 HDH60 Mean17</w:t>
            </w:r>
          </w:p>
        </w:tc>
      </w:tr>
      <w:tr w:rsidR="00DC179D" w14:paraId="6998B6F5" w14:textId="56E3ED73" w:rsidTr="00A818C7">
        <w:trPr>
          <w:jc w:val="center"/>
        </w:trPr>
        <w:tc>
          <w:tcPr>
            <w:tcW w:w="0" w:type="auto"/>
            <w:shd w:val="clear" w:color="auto" w:fill="auto"/>
          </w:tcPr>
          <w:p w14:paraId="1FEB4247"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11</w:t>
            </w:r>
          </w:p>
        </w:tc>
        <w:tc>
          <w:tcPr>
            <w:tcW w:w="0" w:type="auto"/>
            <w:shd w:val="clear" w:color="auto" w:fill="auto"/>
          </w:tcPr>
          <w:p w14:paraId="1F5A631B"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CDH60_MA3 CDH60_MA24</w:t>
            </w:r>
          </w:p>
        </w:tc>
        <w:tc>
          <w:tcPr>
            <w:tcW w:w="0" w:type="auto"/>
          </w:tcPr>
          <w:p w14:paraId="01194074" w14:textId="589DE283" w:rsidR="00DC179D" w:rsidRPr="00AA745A" w:rsidRDefault="00DC179D" w:rsidP="009A32A4">
            <w:pPr>
              <w:keepNext/>
              <w:keepLines/>
              <w:rPr>
                <w:rFonts w:ascii="Arial" w:hAnsi="Arial" w:cs="Arial"/>
                <w:sz w:val="20"/>
                <w:szCs w:val="20"/>
              </w:rPr>
            </w:pPr>
            <w:r>
              <w:rPr>
                <w:rFonts w:ascii="Arial" w:hAnsi="Arial" w:cs="Arial"/>
                <w:sz w:val="20"/>
                <w:szCs w:val="20"/>
              </w:rPr>
              <w:t>CDH65 HDH65 Mean17</w:t>
            </w:r>
          </w:p>
        </w:tc>
      </w:tr>
      <w:tr w:rsidR="00DC179D" w14:paraId="7C6BA4D9" w14:textId="40CA564A" w:rsidTr="00A818C7">
        <w:trPr>
          <w:jc w:val="center"/>
        </w:trPr>
        <w:tc>
          <w:tcPr>
            <w:tcW w:w="0" w:type="auto"/>
            <w:shd w:val="clear" w:color="auto" w:fill="auto"/>
          </w:tcPr>
          <w:p w14:paraId="22AFBF08"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12</w:t>
            </w:r>
          </w:p>
        </w:tc>
        <w:tc>
          <w:tcPr>
            <w:tcW w:w="0" w:type="auto"/>
            <w:shd w:val="clear" w:color="auto" w:fill="auto"/>
          </w:tcPr>
          <w:p w14:paraId="4B404A35"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CDH65_MA3 CDH65_MA24</w:t>
            </w:r>
          </w:p>
        </w:tc>
        <w:tc>
          <w:tcPr>
            <w:tcW w:w="0" w:type="auto"/>
          </w:tcPr>
          <w:p w14:paraId="2D5D3EE9" w14:textId="77777777" w:rsidR="00DC179D" w:rsidRPr="00AA745A" w:rsidRDefault="00DC179D" w:rsidP="009A32A4">
            <w:pPr>
              <w:keepNext/>
              <w:keepLines/>
              <w:rPr>
                <w:rFonts w:ascii="Arial" w:hAnsi="Arial" w:cs="Arial"/>
                <w:sz w:val="20"/>
                <w:szCs w:val="20"/>
              </w:rPr>
            </w:pPr>
          </w:p>
        </w:tc>
      </w:tr>
      <w:tr w:rsidR="00DC179D" w14:paraId="437FE6C4" w14:textId="6D433068" w:rsidTr="00A818C7">
        <w:trPr>
          <w:jc w:val="center"/>
        </w:trPr>
        <w:tc>
          <w:tcPr>
            <w:tcW w:w="0" w:type="auto"/>
            <w:shd w:val="clear" w:color="auto" w:fill="auto"/>
          </w:tcPr>
          <w:p w14:paraId="48A0119E"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13</w:t>
            </w:r>
          </w:p>
        </w:tc>
        <w:tc>
          <w:tcPr>
            <w:tcW w:w="0" w:type="auto"/>
            <w:shd w:val="clear" w:color="auto" w:fill="auto"/>
          </w:tcPr>
          <w:p w14:paraId="3FD0ACBF"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THI Lag_CDD60</w:t>
            </w:r>
          </w:p>
        </w:tc>
        <w:tc>
          <w:tcPr>
            <w:tcW w:w="0" w:type="auto"/>
          </w:tcPr>
          <w:p w14:paraId="45A4F5B9" w14:textId="77777777" w:rsidR="00DC179D" w:rsidRPr="00AA745A" w:rsidRDefault="00DC179D" w:rsidP="009A32A4">
            <w:pPr>
              <w:keepNext/>
              <w:keepLines/>
              <w:rPr>
                <w:rFonts w:ascii="Arial" w:hAnsi="Arial" w:cs="Arial"/>
                <w:sz w:val="20"/>
                <w:szCs w:val="20"/>
              </w:rPr>
            </w:pPr>
          </w:p>
        </w:tc>
      </w:tr>
      <w:tr w:rsidR="00DC179D" w14:paraId="7987DE99" w14:textId="6473A26E" w:rsidTr="00A818C7">
        <w:trPr>
          <w:jc w:val="center"/>
        </w:trPr>
        <w:tc>
          <w:tcPr>
            <w:tcW w:w="0" w:type="auto"/>
            <w:shd w:val="clear" w:color="auto" w:fill="auto"/>
          </w:tcPr>
          <w:p w14:paraId="1CC4BCB4"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14</w:t>
            </w:r>
          </w:p>
        </w:tc>
        <w:tc>
          <w:tcPr>
            <w:tcW w:w="0" w:type="auto"/>
            <w:shd w:val="clear" w:color="auto" w:fill="auto"/>
          </w:tcPr>
          <w:p w14:paraId="42881484"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HI Lag_CDD60</w:t>
            </w:r>
          </w:p>
        </w:tc>
        <w:tc>
          <w:tcPr>
            <w:tcW w:w="0" w:type="auto"/>
          </w:tcPr>
          <w:p w14:paraId="432B4933" w14:textId="77777777" w:rsidR="00DC179D" w:rsidRPr="00AA745A" w:rsidRDefault="00DC179D" w:rsidP="009A32A4">
            <w:pPr>
              <w:keepNext/>
              <w:keepLines/>
              <w:rPr>
                <w:rFonts w:ascii="Arial" w:hAnsi="Arial" w:cs="Arial"/>
                <w:sz w:val="20"/>
                <w:szCs w:val="20"/>
              </w:rPr>
            </w:pPr>
          </w:p>
        </w:tc>
      </w:tr>
      <w:tr w:rsidR="00DC179D" w14:paraId="0F13FCEB" w14:textId="6EA4114D" w:rsidTr="00A818C7">
        <w:trPr>
          <w:jc w:val="center"/>
        </w:trPr>
        <w:tc>
          <w:tcPr>
            <w:tcW w:w="0" w:type="auto"/>
            <w:shd w:val="clear" w:color="auto" w:fill="auto"/>
          </w:tcPr>
          <w:p w14:paraId="6C737AD5"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15</w:t>
            </w:r>
          </w:p>
        </w:tc>
        <w:tc>
          <w:tcPr>
            <w:tcW w:w="0" w:type="auto"/>
            <w:shd w:val="clear" w:color="auto" w:fill="auto"/>
          </w:tcPr>
          <w:p w14:paraId="253C22E9"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CDH60 Lag_CDD60</w:t>
            </w:r>
          </w:p>
        </w:tc>
        <w:tc>
          <w:tcPr>
            <w:tcW w:w="0" w:type="auto"/>
          </w:tcPr>
          <w:p w14:paraId="2738A6C4" w14:textId="77777777" w:rsidR="00DC179D" w:rsidRPr="00AA745A" w:rsidRDefault="00DC179D" w:rsidP="009A32A4">
            <w:pPr>
              <w:keepNext/>
              <w:keepLines/>
              <w:rPr>
                <w:rFonts w:ascii="Arial" w:hAnsi="Arial" w:cs="Arial"/>
                <w:sz w:val="20"/>
                <w:szCs w:val="20"/>
              </w:rPr>
            </w:pPr>
          </w:p>
        </w:tc>
      </w:tr>
      <w:tr w:rsidR="00DC179D" w14:paraId="040A5930" w14:textId="43628758" w:rsidTr="00A818C7">
        <w:trPr>
          <w:jc w:val="center"/>
        </w:trPr>
        <w:tc>
          <w:tcPr>
            <w:tcW w:w="0" w:type="auto"/>
            <w:shd w:val="clear" w:color="auto" w:fill="auto"/>
          </w:tcPr>
          <w:p w14:paraId="0CDA86A9"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16</w:t>
            </w:r>
          </w:p>
        </w:tc>
        <w:tc>
          <w:tcPr>
            <w:tcW w:w="0" w:type="auto"/>
            <w:shd w:val="clear" w:color="auto" w:fill="auto"/>
          </w:tcPr>
          <w:p w14:paraId="366CB938"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CDH65 Lag_CDD60</w:t>
            </w:r>
          </w:p>
        </w:tc>
        <w:tc>
          <w:tcPr>
            <w:tcW w:w="0" w:type="auto"/>
          </w:tcPr>
          <w:p w14:paraId="35EF0227" w14:textId="77777777" w:rsidR="00DC179D" w:rsidRPr="00AA745A" w:rsidRDefault="00DC179D" w:rsidP="009A32A4">
            <w:pPr>
              <w:keepNext/>
              <w:keepLines/>
              <w:rPr>
                <w:rFonts w:ascii="Arial" w:hAnsi="Arial" w:cs="Arial"/>
                <w:sz w:val="20"/>
                <w:szCs w:val="20"/>
              </w:rPr>
            </w:pPr>
          </w:p>
        </w:tc>
      </w:tr>
      <w:tr w:rsidR="00DC179D" w14:paraId="3FAA7D29" w14:textId="2D325B13" w:rsidTr="00A818C7">
        <w:trPr>
          <w:jc w:val="center"/>
        </w:trPr>
        <w:tc>
          <w:tcPr>
            <w:tcW w:w="0" w:type="auto"/>
            <w:shd w:val="clear" w:color="auto" w:fill="auto"/>
          </w:tcPr>
          <w:p w14:paraId="1C0C30A0"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17</w:t>
            </w:r>
          </w:p>
        </w:tc>
        <w:tc>
          <w:tcPr>
            <w:tcW w:w="0" w:type="auto"/>
            <w:shd w:val="clear" w:color="auto" w:fill="auto"/>
          </w:tcPr>
          <w:p w14:paraId="1AB227B8"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CDH60_MA3 Lag_CDD60</w:t>
            </w:r>
          </w:p>
        </w:tc>
        <w:tc>
          <w:tcPr>
            <w:tcW w:w="0" w:type="auto"/>
          </w:tcPr>
          <w:p w14:paraId="7FDCB79F" w14:textId="77777777" w:rsidR="00DC179D" w:rsidRPr="00AA745A" w:rsidRDefault="00DC179D" w:rsidP="009A32A4">
            <w:pPr>
              <w:keepNext/>
              <w:keepLines/>
              <w:rPr>
                <w:rFonts w:ascii="Arial" w:hAnsi="Arial" w:cs="Arial"/>
                <w:sz w:val="20"/>
                <w:szCs w:val="20"/>
              </w:rPr>
            </w:pPr>
          </w:p>
        </w:tc>
      </w:tr>
      <w:tr w:rsidR="00DC179D" w14:paraId="04B9023E" w14:textId="517D5927" w:rsidTr="00A818C7">
        <w:trPr>
          <w:jc w:val="center"/>
        </w:trPr>
        <w:tc>
          <w:tcPr>
            <w:tcW w:w="0" w:type="auto"/>
            <w:shd w:val="clear" w:color="auto" w:fill="auto"/>
          </w:tcPr>
          <w:p w14:paraId="0A905408" w14:textId="77777777" w:rsidR="00DC179D" w:rsidRPr="00AA745A" w:rsidRDefault="00DC179D" w:rsidP="009A32A4">
            <w:pPr>
              <w:keepNext/>
              <w:keepLines/>
              <w:jc w:val="center"/>
              <w:rPr>
                <w:rFonts w:ascii="Arial" w:hAnsi="Arial" w:cs="Arial"/>
                <w:sz w:val="20"/>
                <w:szCs w:val="20"/>
              </w:rPr>
            </w:pPr>
            <w:r w:rsidRPr="00AA745A">
              <w:rPr>
                <w:rFonts w:ascii="Arial" w:hAnsi="Arial" w:cs="Arial"/>
                <w:sz w:val="20"/>
                <w:szCs w:val="20"/>
              </w:rPr>
              <w:t>18</w:t>
            </w:r>
          </w:p>
        </w:tc>
        <w:tc>
          <w:tcPr>
            <w:tcW w:w="0" w:type="auto"/>
            <w:shd w:val="clear" w:color="auto" w:fill="auto"/>
          </w:tcPr>
          <w:p w14:paraId="5DF46AFB" w14:textId="77777777" w:rsidR="00DC179D" w:rsidRPr="00AA745A" w:rsidRDefault="00DC179D" w:rsidP="009A32A4">
            <w:pPr>
              <w:keepNext/>
              <w:keepLines/>
              <w:rPr>
                <w:rFonts w:ascii="Arial" w:hAnsi="Arial" w:cs="Arial"/>
                <w:sz w:val="20"/>
                <w:szCs w:val="20"/>
              </w:rPr>
            </w:pPr>
            <w:r w:rsidRPr="00AA745A">
              <w:rPr>
                <w:rFonts w:ascii="Arial" w:hAnsi="Arial" w:cs="Arial"/>
                <w:sz w:val="20"/>
                <w:szCs w:val="20"/>
              </w:rPr>
              <w:t>CDH65_MA3 Lag_CDD60</w:t>
            </w:r>
          </w:p>
        </w:tc>
        <w:tc>
          <w:tcPr>
            <w:tcW w:w="0" w:type="auto"/>
          </w:tcPr>
          <w:p w14:paraId="50D219E3" w14:textId="77777777" w:rsidR="00DC179D" w:rsidRPr="00AA745A" w:rsidRDefault="00DC179D" w:rsidP="009A32A4">
            <w:pPr>
              <w:keepNext/>
              <w:keepLines/>
              <w:rPr>
                <w:rFonts w:ascii="Arial" w:hAnsi="Arial" w:cs="Arial"/>
                <w:sz w:val="20"/>
                <w:szCs w:val="20"/>
              </w:rPr>
            </w:pPr>
          </w:p>
        </w:tc>
      </w:tr>
      <w:tr w:rsidR="00DC179D" w14:paraId="587D877C" w14:textId="273808CF" w:rsidTr="00A818C7">
        <w:trPr>
          <w:jc w:val="center"/>
        </w:trPr>
        <w:tc>
          <w:tcPr>
            <w:tcW w:w="0" w:type="auto"/>
            <w:shd w:val="clear" w:color="auto" w:fill="auto"/>
          </w:tcPr>
          <w:p w14:paraId="2F689328" w14:textId="2E483366" w:rsidR="00DC179D" w:rsidRPr="00AA745A" w:rsidRDefault="00DC179D" w:rsidP="009A32A4">
            <w:pPr>
              <w:keepNext/>
              <w:keepLines/>
              <w:jc w:val="center"/>
              <w:rPr>
                <w:rFonts w:ascii="Arial" w:hAnsi="Arial" w:cs="Arial"/>
                <w:sz w:val="20"/>
                <w:szCs w:val="20"/>
              </w:rPr>
            </w:pPr>
            <w:r>
              <w:rPr>
                <w:rFonts w:ascii="Arial" w:hAnsi="Arial" w:cs="Arial"/>
                <w:sz w:val="20"/>
                <w:szCs w:val="20"/>
              </w:rPr>
              <w:t>19</w:t>
            </w:r>
          </w:p>
        </w:tc>
        <w:tc>
          <w:tcPr>
            <w:tcW w:w="0" w:type="auto"/>
            <w:shd w:val="clear" w:color="auto" w:fill="auto"/>
          </w:tcPr>
          <w:p w14:paraId="59E244FD" w14:textId="54187B94" w:rsidR="00DC179D" w:rsidRPr="00AA745A" w:rsidRDefault="00DC179D" w:rsidP="009A32A4">
            <w:pPr>
              <w:keepNext/>
              <w:keepLines/>
              <w:rPr>
                <w:rFonts w:ascii="Arial" w:hAnsi="Arial" w:cs="Arial"/>
                <w:sz w:val="20"/>
                <w:szCs w:val="20"/>
              </w:rPr>
            </w:pPr>
            <w:r>
              <w:rPr>
                <w:rFonts w:ascii="Arial" w:hAnsi="Arial" w:cs="Arial"/>
                <w:sz w:val="20"/>
                <w:szCs w:val="20"/>
              </w:rPr>
              <w:t>Mean17</w:t>
            </w:r>
          </w:p>
        </w:tc>
        <w:tc>
          <w:tcPr>
            <w:tcW w:w="0" w:type="auto"/>
          </w:tcPr>
          <w:p w14:paraId="2BB6C3E5" w14:textId="77777777" w:rsidR="00DC179D" w:rsidRDefault="00DC179D" w:rsidP="009A32A4">
            <w:pPr>
              <w:keepNext/>
              <w:keepLines/>
              <w:rPr>
                <w:rFonts w:ascii="Arial" w:hAnsi="Arial" w:cs="Arial"/>
                <w:sz w:val="20"/>
                <w:szCs w:val="20"/>
              </w:rPr>
            </w:pPr>
          </w:p>
        </w:tc>
      </w:tr>
      <w:tr w:rsidR="00DC179D" w14:paraId="75DD73EC" w14:textId="1D85E1BD" w:rsidTr="00A818C7">
        <w:trPr>
          <w:jc w:val="center"/>
        </w:trPr>
        <w:tc>
          <w:tcPr>
            <w:tcW w:w="0" w:type="auto"/>
            <w:shd w:val="clear" w:color="auto" w:fill="auto"/>
          </w:tcPr>
          <w:p w14:paraId="7E085CED" w14:textId="70683716" w:rsidR="00DC179D" w:rsidRPr="00AA745A" w:rsidRDefault="00DC179D" w:rsidP="00175FA8">
            <w:pPr>
              <w:keepNext/>
              <w:keepLines/>
              <w:jc w:val="center"/>
              <w:rPr>
                <w:rFonts w:ascii="Arial" w:hAnsi="Arial" w:cs="Arial"/>
                <w:sz w:val="20"/>
                <w:szCs w:val="20"/>
              </w:rPr>
            </w:pPr>
            <w:r>
              <w:rPr>
                <w:rFonts w:ascii="Arial" w:hAnsi="Arial" w:cs="Arial"/>
                <w:sz w:val="20"/>
                <w:szCs w:val="20"/>
              </w:rPr>
              <w:t>20</w:t>
            </w:r>
          </w:p>
        </w:tc>
        <w:tc>
          <w:tcPr>
            <w:tcW w:w="0" w:type="auto"/>
            <w:shd w:val="clear" w:color="auto" w:fill="auto"/>
          </w:tcPr>
          <w:p w14:paraId="21E1FE17" w14:textId="29BD9637" w:rsidR="00DC179D" w:rsidRPr="00AA745A" w:rsidRDefault="00DC179D" w:rsidP="00175FA8">
            <w:pPr>
              <w:keepNext/>
              <w:keepLines/>
              <w:rPr>
                <w:rFonts w:ascii="Arial" w:hAnsi="Arial" w:cs="Arial"/>
                <w:sz w:val="20"/>
                <w:szCs w:val="20"/>
              </w:rPr>
            </w:pPr>
            <w:r>
              <w:rPr>
                <w:rFonts w:ascii="Arial" w:hAnsi="Arial" w:cs="Arial"/>
                <w:sz w:val="20"/>
                <w:szCs w:val="20"/>
              </w:rPr>
              <w:t>CDH60 Mean17</w:t>
            </w:r>
          </w:p>
        </w:tc>
        <w:tc>
          <w:tcPr>
            <w:tcW w:w="0" w:type="auto"/>
          </w:tcPr>
          <w:p w14:paraId="3431D652" w14:textId="77777777" w:rsidR="00DC179D" w:rsidRDefault="00DC179D" w:rsidP="00175FA8">
            <w:pPr>
              <w:keepNext/>
              <w:keepLines/>
              <w:rPr>
                <w:rFonts w:ascii="Arial" w:hAnsi="Arial" w:cs="Arial"/>
                <w:sz w:val="20"/>
                <w:szCs w:val="20"/>
              </w:rPr>
            </w:pPr>
          </w:p>
        </w:tc>
      </w:tr>
      <w:tr w:rsidR="00DC179D" w14:paraId="0811CF3E" w14:textId="76F7C647" w:rsidTr="00A818C7">
        <w:trPr>
          <w:jc w:val="center"/>
        </w:trPr>
        <w:tc>
          <w:tcPr>
            <w:tcW w:w="0" w:type="auto"/>
            <w:shd w:val="clear" w:color="auto" w:fill="auto"/>
          </w:tcPr>
          <w:p w14:paraId="60855466" w14:textId="69163B81" w:rsidR="00DC179D" w:rsidRPr="00AA745A" w:rsidRDefault="00DC179D" w:rsidP="00175FA8">
            <w:pPr>
              <w:keepNext/>
              <w:keepLines/>
              <w:jc w:val="center"/>
              <w:rPr>
                <w:rFonts w:ascii="Arial" w:hAnsi="Arial" w:cs="Arial"/>
                <w:sz w:val="20"/>
                <w:szCs w:val="20"/>
              </w:rPr>
            </w:pPr>
            <w:r>
              <w:rPr>
                <w:rFonts w:ascii="Arial" w:hAnsi="Arial" w:cs="Arial"/>
                <w:sz w:val="20"/>
                <w:szCs w:val="20"/>
              </w:rPr>
              <w:t>21</w:t>
            </w:r>
          </w:p>
        </w:tc>
        <w:tc>
          <w:tcPr>
            <w:tcW w:w="0" w:type="auto"/>
            <w:shd w:val="clear" w:color="auto" w:fill="auto"/>
          </w:tcPr>
          <w:p w14:paraId="7603BA5F" w14:textId="09D23FC4" w:rsidR="00DC179D" w:rsidRPr="00AA745A" w:rsidRDefault="00DC179D" w:rsidP="00175FA8">
            <w:pPr>
              <w:keepNext/>
              <w:keepLines/>
              <w:rPr>
                <w:rFonts w:ascii="Arial" w:hAnsi="Arial" w:cs="Arial"/>
                <w:sz w:val="20"/>
                <w:szCs w:val="20"/>
              </w:rPr>
            </w:pPr>
            <w:r>
              <w:rPr>
                <w:rFonts w:ascii="Arial" w:hAnsi="Arial" w:cs="Arial"/>
                <w:sz w:val="20"/>
                <w:szCs w:val="20"/>
              </w:rPr>
              <w:t>CDH65 Mean17</w:t>
            </w:r>
          </w:p>
        </w:tc>
        <w:tc>
          <w:tcPr>
            <w:tcW w:w="0" w:type="auto"/>
          </w:tcPr>
          <w:p w14:paraId="1A7E7E5E" w14:textId="77777777" w:rsidR="00DC179D" w:rsidRDefault="00DC179D" w:rsidP="00175FA8">
            <w:pPr>
              <w:keepNext/>
              <w:keepLines/>
              <w:rPr>
                <w:rFonts w:ascii="Arial" w:hAnsi="Arial" w:cs="Arial"/>
                <w:sz w:val="20"/>
                <w:szCs w:val="20"/>
              </w:rPr>
            </w:pPr>
          </w:p>
        </w:tc>
      </w:tr>
    </w:tbl>
    <w:p w14:paraId="4897BCF2" w14:textId="77777777" w:rsidR="007772B0" w:rsidRDefault="007772B0" w:rsidP="007772B0"/>
    <w:p w14:paraId="00386124" w14:textId="77777777" w:rsidR="007772B0" w:rsidRDefault="007772B0" w:rsidP="007772B0">
      <w:r w:rsidRPr="00CE0406">
        <w:t xml:space="preserve">The model variations </w:t>
      </w:r>
      <w:r>
        <w:t xml:space="preserve">are </w:t>
      </w:r>
      <w:r w:rsidRPr="00CE0406">
        <w:t xml:space="preserve">evaluated according to </w:t>
      </w:r>
      <w:r>
        <w:t>two primary validation tests:</w:t>
      </w:r>
    </w:p>
    <w:p w14:paraId="0DF351A9" w14:textId="77777777" w:rsidR="007772B0" w:rsidRDefault="007772B0" w:rsidP="007772B0">
      <w:pPr>
        <w:numPr>
          <w:ilvl w:val="0"/>
          <w:numId w:val="8"/>
        </w:numPr>
      </w:pPr>
      <w:r>
        <w:t>A</w:t>
      </w:r>
      <w:r w:rsidRPr="00CE0406">
        <w:t xml:space="preserve">bility to predict usage on event-like </w:t>
      </w:r>
      <w:r w:rsidRPr="005E736C">
        <w:rPr>
          <w:i/>
        </w:rPr>
        <w:t>non-event days</w:t>
      </w:r>
      <w:r w:rsidRPr="00CE0406">
        <w:t xml:space="preserve">. Specifically, we </w:t>
      </w:r>
      <w:r>
        <w:t>identified</w:t>
      </w:r>
      <w:r w:rsidRPr="00CE0406">
        <w:t xml:space="preserve"> </w:t>
      </w:r>
      <w:r>
        <w:t xml:space="preserve">a set of </w:t>
      </w:r>
      <w:r w:rsidRPr="00CE0406">
        <w:t xml:space="preserve">days that </w:t>
      </w:r>
      <w:r>
        <w:t>we</w:t>
      </w:r>
      <w:r w:rsidRPr="00CE0406">
        <w:t xml:space="preserve">re similar to event days, but were not called as event days (i.e., “test days”). The use of non-event test days allows us to test model performance against known “reference loads,” or customer usage in the absence of an event. We estimate the model excluding </w:t>
      </w:r>
      <w:r>
        <w:t xml:space="preserve">one of </w:t>
      </w:r>
      <w:r w:rsidRPr="00CE0406">
        <w:t>the test days and use the estimates to make out-of-sample predictions of customer loads on th</w:t>
      </w:r>
      <w:r>
        <w:t xml:space="preserve">at </w:t>
      </w:r>
      <w:r w:rsidRPr="00CE0406">
        <w:t>day.</w:t>
      </w:r>
      <w:r>
        <w:t xml:space="preserve"> The process is repeated for all of the test days.</w:t>
      </w:r>
      <w:r w:rsidRPr="00CE0406">
        <w:t xml:space="preserve"> The model fit (i.e., the difference between the actual and predicted loads on the test days, during afternoon hours in which events are typically called) </w:t>
      </w:r>
      <w:r>
        <w:t xml:space="preserve">is evaluated </w:t>
      </w:r>
      <w:r w:rsidRPr="00CE0406">
        <w:t xml:space="preserve">using mean absolute percentage error (MAPE) as </w:t>
      </w:r>
      <w:r>
        <w:t xml:space="preserve">a measure of </w:t>
      </w:r>
      <w:r w:rsidRPr="00CE0406">
        <w:t>accuracy</w:t>
      </w:r>
      <w:r>
        <w:t>,</w:t>
      </w:r>
      <w:r w:rsidRPr="00CE0406">
        <w:t xml:space="preserve"> and mean percentage error (MPE) as a measure of bias. </w:t>
      </w:r>
    </w:p>
    <w:p w14:paraId="4A9080FC" w14:textId="77777777" w:rsidR="007772B0" w:rsidRDefault="007772B0" w:rsidP="007772B0">
      <w:pPr>
        <w:numPr>
          <w:ilvl w:val="0"/>
          <w:numId w:val="8"/>
        </w:numPr>
      </w:pPr>
      <w:r>
        <w:t xml:space="preserve">Performance on </w:t>
      </w:r>
      <w:r w:rsidRPr="005E736C">
        <w:rPr>
          <w:i/>
        </w:rPr>
        <w:t>synthetic</w:t>
      </w:r>
      <w:r>
        <w:t xml:space="preserve"> event days (e.g., event-like non-event days that are treated as event days in estimation), to test for “event” coefficients that demonstrate statistically significant bias, as opposed to expected non-significance, since customers have no reason to modify usage on days that are not actual events. This is an extension of the previous test. The same test days are used, with a set of hourly “synthetic” event variables included in addition to the rest of the specification to test whether non-zero load impacts are estimated for these days. A successful test involves synthetic event load impact coefficients that are not statistically significantly different from zero.</w:t>
      </w:r>
    </w:p>
    <w:p w14:paraId="24B11B6C" w14:textId="77777777" w:rsidR="007772B0" w:rsidRDefault="007772B0" w:rsidP="007772B0">
      <w:pPr>
        <w:pStyle w:val="Heading3"/>
      </w:pPr>
      <w:bookmarkStart w:id="261" w:name="_Toc415488994"/>
      <w:r>
        <w:lastRenderedPageBreak/>
        <w:t>A.1.1 Selection of Event-Like Non-Event Days</w:t>
      </w:r>
      <w:bookmarkEnd w:id="261"/>
    </w:p>
    <w:p w14:paraId="3975BC0D" w14:textId="77777777" w:rsidR="007772B0" w:rsidRDefault="007772B0" w:rsidP="007772B0">
      <w:r>
        <w:t xml:space="preserve">In order to select event-like non-event days, we created an average weather profile using the load-weighted average temperature across customers, each of which is associated with a weather station. </w:t>
      </w:r>
    </w:p>
    <w:p w14:paraId="74BC12F0" w14:textId="77777777" w:rsidR="007772B0" w:rsidRDefault="007772B0" w:rsidP="007772B0"/>
    <w:p w14:paraId="6E2F87AE" w14:textId="75419F23" w:rsidR="007772B0" w:rsidRDefault="007772B0" w:rsidP="007772B0">
      <w:r>
        <w:t xml:space="preserve">We selected days according to the average </w:t>
      </w:r>
      <w:r w:rsidR="006821A7">
        <w:t>afternoon</w:t>
      </w:r>
      <w:r>
        <w:t xml:space="preserve"> temperature (e.g., hours-ending 13 through 20 for PG&amp;E), omitting holidays, weekends, and event days for programs in which </w:t>
      </w:r>
      <w:r w:rsidR="009E1D86">
        <w:t>BIP</w:t>
      </w:r>
      <w:r>
        <w:t xml:space="preserve"> customers are dually enrolled (e.g., </w:t>
      </w:r>
      <w:r w:rsidR="009E1D86">
        <w:t>DBP</w:t>
      </w:r>
      <w:r>
        <w:t>). Table A.2 lists the event-like non-event days selected for each program.</w:t>
      </w:r>
    </w:p>
    <w:p w14:paraId="30752036" w14:textId="77777777" w:rsidR="007772B0" w:rsidRDefault="007772B0" w:rsidP="007772B0"/>
    <w:p w14:paraId="18619727" w14:textId="77777777" w:rsidR="007772B0" w:rsidRPr="0088530C" w:rsidRDefault="007772B0" w:rsidP="007772B0">
      <w:pPr>
        <w:pStyle w:val="TableCaption"/>
        <w:keepNext/>
        <w:keepLines/>
      </w:pPr>
      <w:bookmarkStart w:id="262" w:name="_Toc415489041"/>
      <w:r w:rsidRPr="0088530C">
        <w:t xml:space="preserve">Table </w:t>
      </w:r>
      <w:r>
        <w:t>A</w:t>
      </w:r>
      <w:r w:rsidRPr="0088530C">
        <w:t>.2: List of Event-Like Non-Event Days by Program</w:t>
      </w:r>
      <w:bookmarkEnd w:id="2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5"/>
        <w:gridCol w:w="1354"/>
        <w:gridCol w:w="1217"/>
        <w:gridCol w:w="1288"/>
        <w:gridCol w:w="1350"/>
      </w:tblGrid>
      <w:tr w:rsidR="00AF5501" w14:paraId="3B3830A5" w14:textId="77777777" w:rsidTr="00B07A26">
        <w:trPr>
          <w:trHeight w:val="332"/>
          <w:jc w:val="center"/>
        </w:trPr>
        <w:tc>
          <w:tcPr>
            <w:tcW w:w="2709" w:type="dxa"/>
            <w:gridSpan w:val="2"/>
            <w:shd w:val="clear" w:color="auto" w:fill="D9E2F3"/>
            <w:vAlign w:val="center"/>
          </w:tcPr>
          <w:p w14:paraId="075532A5" w14:textId="0E9694FF" w:rsidR="00AF5501" w:rsidRPr="00AA745A" w:rsidRDefault="00AF5501" w:rsidP="00A818C7">
            <w:pPr>
              <w:keepNext/>
              <w:keepLines/>
              <w:jc w:val="center"/>
              <w:rPr>
                <w:rFonts w:ascii="Arial" w:hAnsi="Arial" w:cs="Arial"/>
                <w:b/>
                <w:sz w:val="20"/>
                <w:szCs w:val="20"/>
              </w:rPr>
            </w:pPr>
            <w:r>
              <w:rPr>
                <w:rFonts w:ascii="Arial" w:hAnsi="Arial" w:cs="Arial"/>
                <w:b/>
                <w:sz w:val="20"/>
                <w:szCs w:val="20"/>
              </w:rPr>
              <w:t>PG&amp;E</w:t>
            </w:r>
          </w:p>
        </w:tc>
        <w:tc>
          <w:tcPr>
            <w:tcW w:w="1217" w:type="dxa"/>
            <w:shd w:val="clear" w:color="auto" w:fill="D9E2F3"/>
            <w:vAlign w:val="center"/>
          </w:tcPr>
          <w:p w14:paraId="742CE82A" w14:textId="3661A0D4" w:rsidR="00AF5501" w:rsidRDefault="00AF5501" w:rsidP="00A818C7">
            <w:pPr>
              <w:keepNext/>
              <w:keepLines/>
              <w:jc w:val="center"/>
              <w:rPr>
                <w:rFonts w:ascii="Arial" w:hAnsi="Arial" w:cs="Arial"/>
                <w:b/>
                <w:sz w:val="20"/>
                <w:szCs w:val="20"/>
              </w:rPr>
            </w:pPr>
            <w:r>
              <w:rPr>
                <w:rFonts w:ascii="Arial" w:hAnsi="Arial" w:cs="Arial"/>
                <w:b/>
                <w:sz w:val="20"/>
                <w:szCs w:val="20"/>
              </w:rPr>
              <w:t>SCE</w:t>
            </w:r>
          </w:p>
        </w:tc>
        <w:tc>
          <w:tcPr>
            <w:tcW w:w="2638" w:type="dxa"/>
            <w:gridSpan w:val="2"/>
            <w:shd w:val="clear" w:color="auto" w:fill="D9E2F3"/>
            <w:vAlign w:val="center"/>
          </w:tcPr>
          <w:p w14:paraId="25369D2B" w14:textId="1B1FAADF" w:rsidR="00AF5501" w:rsidRPr="00AA745A" w:rsidRDefault="00AF5501" w:rsidP="00A818C7">
            <w:pPr>
              <w:keepNext/>
              <w:keepLines/>
              <w:jc w:val="center"/>
              <w:rPr>
                <w:rFonts w:ascii="Arial" w:hAnsi="Arial" w:cs="Arial"/>
                <w:b/>
                <w:sz w:val="20"/>
                <w:szCs w:val="20"/>
              </w:rPr>
            </w:pPr>
            <w:r>
              <w:rPr>
                <w:rFonts w:ascii="Arial" w:hAnsi="Arial" w:cs="Arial"/>
                <w:b/>
                <w:sz w:val="20"/>
                <w:szCs w:val="20"/>
              </w:rPr>
              <w:t>SDG&amp;E</w:t>
            </w:r>
          </w:p>
        </w:tc>
      </w:tr>
      <w:tr w:rsidR="00AF5501" w14:paraId="3C9C6487" w14:textId="3224CCE3" w:rsidTr="00B07A26">
        <w:trPr>
          <w:trHeight w:val="620"/>
          <w:jc w:val="center"/>
        </w:trPr>
        <w:tc>
          <w:tcPr>
            <w:tcW w:w="1355" w:type="dxa"/>
            <w:shd w:val="clear" w:color="auto" w:fill="D9E2F3"/>
            <w:vAlign w:val="center"/>
          </w:tcPr>
          <w:p w14:paraId="72F07D58" w14:textId="77777777" w:rsidR="00AF5501" w:rsidRDefault="00AF5501" w:rsidP="00AF5501">
            <w:pPr>
              <w:keepNext/>
              <w:keepLines/>
              <w:jc w:val="center"/>
              <w:rPr>
                <w:rFonts w:ascii="Arial" w:hAnsi="Arial" w:cs="Arial"/>
                <w:b/>
                <w:sz w:val="20"/>
                <w:szCs w:val="20"/>
              </w:rPr>
            </w:pPr>
          </w:p>
          <w:p w14:paraId="0F05926E" w14:textId="14EA55CF" w:rsidR="00AF5501" w:rsidRDefault="00AF5501" w:rsidP="00AF5501">
            <w:pPr>
              <w:keepNext/>
              <w:keepLines/>
              <w:jc w:val="center"/>
              <w:rPr>
                <w:rFonts w:ascii="Arial" w:hAnsi="Arial" w:cs="Arial"/>
                <w:b/>
                <w:sz w:val="20"/>
                <w:szCs w:val="20"/>
              </w:rPr>
            </w:pPr>
            <w:r>
              <w:rPr>
                <w:rFonts w:ascii="Arial" w:hAnsi="Arial" w:cs="Arial"/>
                <w:b/>
                <w:sz w:val="20"/>
                <w:szCs w:val="20"/>
              </w:rPr>
              <w:t>Summer</w:t>
            </w:r>
          </w:p>
          <w:p w14:paraId="63CF4A5E" w14:textId="77777777" w:rsidR="00AF5501" w:rsidRPr="00AA745A" w:rsidRDefault="00AF5501" w:rsidP="00AF5501">
            <w:pPr>
              <w:keepNext/>
              <w:keepLines/>
              <w:jc w:val="center"/>
              <w:rPr>
                <w:rFonts w:ascii="Arial" w:hAnsi="Arial" w:cs="Arial"/>
                <w:b/>
                <w:sz w:val="20"/>
                <w:szCs w:val="20"/>
              </w:rPr>
            </w:pPr>
          </w:p>
        </w:tc>
        <w:tc>
          <w:tcPr>
            <w:tcW w:w="1354" w:type="dxa"/>
            <w:shd w:val="clear" w:color="auto" w:fill="D9E2F3"/>
            <w:vAlign w:val="center"/>
          </w:tcPr>
          <w:p w14:paraId="15A9D11B" w14:textId="3881EAD4" w:rsidR="00AF5501" w:rsidRPr="00AA745A" w:rsidRDefault="00AF5501" w:rsidP="00AF5501">
            <w:pPr>
              <w:keepNext/>
              <w:keepLines/>
              <w:jc w:val="center"/>
              <w:rPr>
                <w:rFonts w:ascii="Arial" w:hAnsi="Arial" w:cs="Arial"/>
                <w:b/>
                <w:sz w:val="20"/>
                <w:szCs w:val="20"/>
              </w:rPr>
            </w:pPr>
            <w:r>
              <w:rPr>
                <w:rFonts w:ascii="Arial" w:hAnsi="Arial" w:cs="Arial"/>
                <w:b/>
                <w:sz w:val="20"/>
                <w:szCs w:val="20"/>
              </w:rPr>
              <w:t>Non-Summer</w:t>
            </w:r>
          </w:p>
        </w:tc>
        <w:tc>
          <w:tcPr>
            <w:tcW w:w="1217" w:type="dxa"/>
            <w:shd w:val="clear" w:color="auto" w:fill="D9E2F3"/>
            <w:vAlign w:val="center"/>
          </w:tcPr>
          <w:p w14:paraId="439F1545" w14:textId="3CD7A92D" w:rsidR="00AF5501" w:rsidRDefault="00AF5501" w:rsidP="00AF5501">
            <w:pPr>
              <w:keepNext/>
              <w:keepLines/>
              <w:jc w:val="center"/>
              <w:rPr>
                <w:rFonts w:ascii="Arial" w:hAnsi="Arial" w:cs="Arial"/>
                <w:b/>
                <w:sz w:val="20"/>
                <w:szCs w:val="20"/>
              </w:rPr>
            </w:pPr>
            <w:r>
              <w:rPr>
                <w:rFonts w:ascii="Arial" w:hAnsi="Arial" w:cs="Arial"/>
                <w:b/>
                <w:sz w:val="20"/>
                <w:szCs w:val="20"/>
              </w:rPr>
              <w:t>Non-Summer</w:t>
            </w:r>
          </w:p>
        </w:tc>
        <w:tc>
          <w:tcPr>
            <w:tcW w:w="1288" w:type="dxa"/>
            <w:shd w:val="clear" w:color="auto" w:fill="D9E2F3"/>
            <w:vAlign w:val="center"/>
          </w:tcPr>
          <w:p w14:paraId="1E2E86C2" w14:textId="13A4B198" w:rsidR="00AF5501" w:rsidRPr="00AA745A" w:rsidRDefault="00AF5501" w:rsidP="00AF5501">
            <w:pPr>
              <w:keepNext/>
              <w:keepLines/>
              <w:jc w:val="center"/>
              <w:rPr>
                <w:rFonts w:ascii="Arial" w:hAnsi="Arial" w:cs="Arial"/>
                <w:b/>
                <w:sz w:val="20"/>
                <w:szCs w:val="20"/>
              </w:rPr>
            </w:pPr>
            <w:r>
              <w:rPr>
                <w:rFonts w:ascii="Arial" w:hAnsi="Arial" w:cs="Arial"/>
                <w:b/>
                <w:sz w:val="20"/>
                <w:szCs w:val="20"/>
              </w:rPr>
              <w:t>Summer</w:t>
            </w:r>
          </w:p>
        </w:tc>
        <w:tc>
          <w:tcPr>
            <w:tcW w:w="1350" w:type="dxa"/>
            <w:shd w:val="clear" w:color="auto" w:fill="D9E2F3"/>
            <w:vAlign w:val="center"/>
          </w:tcPr>
          <w:p w14:paraId="79F49451" w14:textId="512ABAE8" w:rsidR="00AF5501" w:rsidRPr="00AA745A" w:rsidRDefault="00AF5501" w:rsidP="00AF5501">
            <w:pPr>
              <w:keepNext/>
              <w:keepLines/>
              <w:jc w:val="center"/>
              <w:rPr>
                <w:rFonts w:ascii="Arial" w:hAnsi="Arial" w:cs="Arial"/>
                <w:b/>
                <w:sz w:val="20"/>
                <w:szCs w:val="20"/>
              </w:rPr>
            </w:pPr>
            <w:r>
              <w:rPr>
                <w:rFonts w:ascii="Arial" w:hAnsi="Arial" w:cs="Arial"/>
                <w:b/>
                <w:sz w:val="20"/>
                <w:szCs w:val="20"/>
              </w:rPr>
              <w:t>Non-Summer</w:t>
            </w:r>
          </w:p>
        </w:tc>
      </w:tr>
      <w:tr w:rsidR="00AF5501" w14:paraId="184263CF" w14:textId="5740EC31" w:rsidTr="00B07A26">
        <w:trPr>
          <w:jc w:val="center"/>
        </w:trPr>
        <w:tc>
          <w:tcPr>
            <w:tcW w:w="1355" w:type="dxa"/>
            <w:shd w:val="clear" w:color="auto" w:fill="auto"/>
          </w:tcPr>
          <w:p w14:paraId="56C9728C" w14:textId="0CAEFDC6" w:rsidR="00AF5501" w:rsidRPr="009E692D" w:rsidRDefault="00AF5501" w:rsidP="00AF5501">
            <w:pPr>
              <w:keepNext/>
              <w:keepLines/>
              <w:jc w:val="right"/>
              <w:rPr>
                <w:rFonts w:ascii="Arial" w:hAnsi="Arial" w:cs="Arial"/>
                <w:sz w:val="20"/>
                <w:szCs w:val="20"/>
              </w:rPr>
            </w:pPr>
            <w:r>
              <w:rPr>
                <w:rFonts w:ascii="Arial" w:hAnsi="Arial" w:cs="Arial"/>
                <w:sz w:val="20"/>
                <w:szCs w:val="20"/>
              </w:rPr>
              <w:t>5/1</w:t>
            </w:r>
            <w:r w:rsidRPr="009E692D">
              <w:rPr>
                <w:rFonts w:ascii="Arial" w:hAnsi="Arial" w:cs="Arial"/>
                <w:sz w:val="20"/>
                <w:szCs w:val="20"/>
              </w:rPr>
              <w:t>/2014</w:t>
            </w:r>
          </w:p>
        </w:tc>
        <w:tc>
          <w:tcPr>
            <w:tcW w:w="1354" w:type="dxa"/>
            <w:shd w:val="clear" w:color="auto" w:fill="auto"/>
          </w:tcPr>
          <w:p w14:paraId="68801C36" w14:textId="7201BC9B" w:rsidR="00AF5501" w:rsidRPr="00AA745A" w:rsidRDefault="00AF5501" w:rsidP="00AF5501">
            <w:pPr>
              <w:keepNext/>
              <w:keepLines/>
              <w:jc w:val="right"/>
              <w:rPr>
                <w:rFonts w:ascii="Arial" w:hAnsi="Arial" w:cs="Arial"/>
                <w:sz w:val="20"/>
                <w:szCs w:val="20"/>
              </w:rPr>
            </w:pPr>
            <w:r>
              <w:rPr>
                <w:rFonts w:ascii="Arial" w:hAnsi="Arial" w:cs="Arial"/>
                <w:sz w:val="20"/>
                <w:szCs w:val="20"/>
              </w:rPr>
              <w:t>2</w:t>
            </w:r>
            <w:r w:rsidRPr="009E692D">
              <w:rPr>
                <w:rFonts w:ascii="Arial" w:hAnsi="Arial" w:cs="Arial"/>
                <w:sz w:val="20"/>
                <w:szCs w:val="20"/>
              </w:rPr>
              <w:t>/3/2014</w:t>
            </w:r>
          </w:p>
        </w:tc>
        <w:tc>
          <w:tcPr>
            <w:tcW w:w="1217" w:type="dxa"/>
          </w:tcPr>
          <w:p w14:paraId="17081B45" w14:textId="2A25295B" w:rsidR="00AF5501" w:rsidRDefault="00AF5501" w:rsidP="00AF5501">
            <w:pPr>
              <w:keepNext/>
              <w:keepLines/>
              <w:jc w:val="right"/>
              <w:rPr>
                <w:rFonts w:ascii="Arial" w:hAnsi="Arial" w:cs="Arial"/>
                <w:sz w:val="20"/>
                <w:szCs w:val="20"/>
              </w:rPr>
            </w:pPr>
            <w:r>
              <w:rPr>
                <w:rFonts w:ascii="Arial" w:hAnsi="Arial" w:cs="Arial"/>
                <w:sz w:val="20"/>
                <w:szCs w:val="20"/>
              </w:rPr>
              <w:t>11</w:t>
            </w:r>
            <w:r w:rsidRPr="009E692D">
              <w:rPr>
                <w:rFonts w:ascii="Arial" w:hAnsi="Arial" w:cs="Arial"/>
                <w:sz w:val="20"/>
                <w:szCs w:val="20"/>
              </w:rPr>
              <w:t>/</w:t>
            </w:r>
            <w:r>
              <w:rPr>
                <w:rFonts w:ascii="Arial" w:hAnsi="Arial" w:cs="Arial"/>
                <w:sz w:val="20"/>
                <w:szCs w:val="20"/>
              </w:rPr>
              <w:t>22</w:t>
            </w:r>
            <w:r w:rsidRPr="009E692D">
              <w:rPr>
                <w:rFonts w:ascii="Arial" w:hAnsi="Arial" w:cs="Arial"/>
                <w:sz w:val="20"/>
                <w:szCs w:val="20"/>
              </w:rPr>
              <w:t>/201</w:t>
            </w:r>
            <w:r>
              <w:rPr>
                <w:rFonts w:ascii="Arial" w:hAnsi="Arial" w:cs="Arial"/>
                <w:sz w:val="20"/>
                <w:szCs w:val="20"/>
              </w:rPr>
              <w:t>3</w:t>
            </w:r>
          </w:p>
        </w:tc>
        <w:tc>
          <w:tcPr>
            <w:tcW w:w="1288" w:type="dxa"/>
            <w:vAlign w:val="center"/>
          </w:tcPr>
          <w:p w14:paraId="457336B4" w14:textId="34EF8800" w:rsidR="00AF5501" w:rsidRPr="00AA745A" w:rsidRDefault="00AF5501" w:rsidP="00AF5501">
            <w:pPr>
              <w:keepNext/>
              <w:keepLines/>
              <w:jc w:val="right"/>
              <w:rPr>
                <w:rFonts w:ascii="Arial" w:hAnsi="Arial" w:cs="Arial"/>
                <w:sz w:val="20"/>
                <w:szCs w:val="20"/>
              </w:rPr>
            </w:pPr>
            <w:r>
              <w:rPr>
                <w:rFonts w:ascii="Arial" w:hAnsi="Arial" w:cs="Arial"/>
                <w:sz w:val="20"/>
                <w:szCs w:val="20"/>
              </w:rPr>
              <w:t>5/13/2014</w:t>
            </w:r>
          </w:p>
        </w:tc>
        <w:tc>
          <w:tcPr>
            <w:tcW w:w="1350" w:type="dxa"/>
            <w:vAlign w:val="center"/>
          </w:tcPr>
          <w:p w14:paraId="7006683C" w14:textId="4C90FDA5" w:rsidR="00AF5501" w:rsidRPr="00AA745A" w:rsidRDefault="00AF5501" w:rsidP="00AF5501">
            <w:pPr>
              <w:keepNext/>
              <w:keepLines/>
              <w:jc w:val="right"/>
              <w:rPr>
                <w:rFonts w:ascii="Arial" w:hAnsi="Arial" w:cs="Arial"/>
                <w:sz w:val="20"/>
                <w:szCs w:val="20"/>
              </w:rPr>
            </w:pPr>
            <w:r>
              <w:rPr>
                <w:rFonts w:ascii="Arial" w:hAnsi="Arial" w:cs="Arial"/>
                <w:sz w:val="20"/>
                <w:szCs w:val="20"/>
              </w:rPr>
              <w:t>12/12/2013</w:t>
            </w:r>
          </w:p>
        </w:tc>
      </w:tr>
      <w:tr w:rsidR="00AF5501" w14:paraId="33B4C45B" w14:textId="459E6233" w:rsidTr="00B07A26">
        <w:trPr>
          <w:jc w:val="center"/>
        </w:trPr>
        <w:tc>
          <w:tcPr>
            <w:tcW w:w="1355" w:type="dxa"/>
            <w:shd w:val="clear" w:color="auto" w:fill="auto"/>
          </w:tcPr>
          <w:p w14:paraId="45FBBD29" w14:textId="3CC38AF1" w:rsidR="00AF5501" w:rsidRPr="009E692D" w:rsidRDefault="00AF5501" w:rsidP="00AF5501">
            <w:pPr>
              <w:keepNext/>
              <w:keepLines/>
              <w:jc w:val="right"/>
              <w:rPr>
                <w:rFonts w:ascii="Arial" w:hAnsi="Arial" w:cs="Arial"/>
                <w:sz w:val="20"/>
                <w:szCs w:val="20"/>
              </w:rPr>
            </w:pPr>
            <w:r>
              <w:rPr>
                <w:rFonts w:ascii="Arial" w:hAnsi="Arial" w:cs="Arial"/>
                <w:sz w:val="20"/>
                <w:szCs w:val="20"/>
              </w:rPr>
              <w:t>5</w:t>
            </w:r>
            <w:r w:rsidRPr="009E692D">
              <w:rPr>
                <w:rFonts w:ascii="Arial" w:hAnsi="Arial" w:cs="Arial"/>
                <w:sz w:val="20"/>
                <w:szCs w:val="20"/>
              </w:rPr>
              <w:t>/</w:t>
            </w:r>
            <w:r>
              <w:rPr>
                <w:rFonts w:ascii="Arial" w:hAnsi="Arial" w:cs="Arial"/>
                <w:sz w:val="20"/>
                <w:szCs w:val="20"/>
              </w:rPr>
              <w:t>21</w:t>
            </w:r>
            <w:r w:rsidRPr="009E692D">
              <w:rPr>
                <w:rFonts w:ascii="Arial" w:hAnsi="Arial" w:cs="Arial"/>
                <w:sz w:val="20"/>
                <w:szCs w:val="20"/>
              </w:rPr>
              <w:t>/2014</w:t>
            </w:r>
          </w:p>
        </w:tc>
        <w:tc>
          <w:tcPr>
            <w:tcW w:w="1354" w:type="dxa"/>
            <w:shd w:val="clear" w:color="auto" w:fill="auto"/>
          </w:tcPr>
          <w:p w14:paraId="15B9A907" w14:textId="47AD7235" w:rsidR="00AF5501" w:rsidRPr="00AA745A" w:rsidRDefault="00AF5501" w:rsidP="00AF5501">
            <w:pPr>
              <w:keepNext/>
              <w:keepLines/>
              <w:jc w:val="right"/>
              <w:rPr>
                <w:rFonts w:ascii="Arial" w:hAnsi="Arial" w:cs="Arial"/>
                <w:sz w:val="20"/>
                <w:szCs w:val="20"/>
              </w:rPr>
            </w:pPr>
            <w:r>
              <w:rPr>
                <w:rFonts w:ascii="Arial" w:hAnsi="Arial" w:cs="Arial"/>
                <w:sz w:val="20"/>
                <w:szCs w:val="20"/>
              </w:rPr>
              <w:t>2</w:t>
            </w:r>
            <w:r w:rsidRPr="009E692D">
              <w:rPr>
                <w:rFonts w:ascii="Arial" w:hAnsi="Arial" w:cs="Arial"/>
                <w:sz w:val="20"/>
                <w:szCs w:val="20"/>
              </w:rPr>
              <w:t>/</w:t>
            </w:r>
            <w:r>
              <w:rPr>
                <w:rFonts w:ascii="Arial" w:hAnsi="Arial" w:cs="Arial"/>
                <w:sz w:val="20"/>
                <w:szCs w:val="20"/>
              </w:rPr>
              <w:t>4</w:t>
            </w:r>
            <w:r w:rsidRPr="009E692D">
              <w:rPr>
                <w:rFonts w:ascii="Arial" w:hAnsi="Arial" w:cs="Arial"/>
                <w:sz w:val="20"/>
                <w:szCs w:val="20"/>
              </w:rPr>
              <w:t>/2014</w:t>
            </w:r>
          </w:p>
        </w:tc>
        <w:tc>
          <w:tcPr>
            <w:tcW w:w="1217" w:type="dxa"/>
          </w:tcPr>
          <w:p w14:paraId="1556AF04" w14:textId="6EB0402D" w:rsidR="00AF5501" w:rsidRDefault="00AF5501" w:rsidP="00AF5501">
            <w:pPr>
              <w:keepNext/>
              <w:keepLines/>
              <w:jc w:val="right"/>
              <w:rPr>
                <w:rFonts w:ascii="Arial" w:hAnsi="Arial" w:cs="Arial"/>
                <w:sz w:val="20"/>
                <w:szCs w:val="20"/>
              </w:rPr>
            </w:pPr>
            <w:r>
              <w:rPr>
                <w:rFonts w:ascii="Arial" w:hAnsi="Arial" w:cs="Arial"/>
                <w:sz w:val="20"/>
                <w:szCs w:val="20"/>
              </w:rPr>
              <w:t>12</w:t>
            </w:r>
            <w:r w:rsidRPr="009E692D">
              <w:rPr>
                <w:rFonts w:ascii="Arial" w:hAnsi="Arial" w:cs="Arial"/>
                <w:sz w:val="20"/>
                <w:szCs w:val="20"/>
              </w:rPr>
              <w:t>/</w:t>
            </w:r>
            <w:r>
              <w:rPr>
                <w:rFonts w:ascii="Arial" w:hAnsi="Arial" w:cs="Arial"/>
                <w:sz w:val="20"/>
                <w:szCs w:val="20"/>
              </w:rPr>
              <w:t>5</w:t>
            </w:r>
            <w:r w:rsidRPr="009E692D">
              <w:rPr>
                <w:rFonts w:ascii="Arial" w:hAnsi="Arial" w:cs="Arial"/>
                <w:sz w:val="20"/>
                <w:szCs w:val="20"/>
              </w:rPr>
              <w:t>/201</w:t>
            </w:r>
            <w:r>
              <w:rPr>
                <w:rFonts w:ascii="Arial" w:hAnsi="Arial" w:cs="Arial"/>
                <w:sz w:val="20"/>
                <w:szCs w:val="20"/>
              </w:rPr>
              <w:t>3</w:t>
            </w:r>
          </w:p>
        </w:tc>
        <w:tc>
          <w:tcPr>
            <w:tcW w:w="1288" w:type="dxa"/>
            <w:vAlign w:val="center"/>
          </w:tcPr>
          <w:p w14:paraId="1AA4B12A" w14:textId="64413CF7" w:rsidR="00AF5501" w:rsidRPr="00AA745A" w:rsidRDefault="00AF5501" w:rsidP="00AF5501">
            <w:pPr>
              <w:keepNext/>
              <w:keepLines/>
              <w:jc w:val="right"/>
              <w:rPr>
                <w:rFonts w:ascii="Arial" w:hAnsi="Arial" w:cs="Arial"/>
                <w:sz w:val="20"/>
                <w:szCs w:val="20"/>
              </w:rPr>
            </w:pPr>
            <w:r>
              <w:rPr>
                <w:rFonts w:ascii="Arial" w:hAnsi="Arial" w:cs="Arial"/>
                <w:sz w:val="20"/>
                <w:szCs w:val="20"/>
              </w:rPr>
              <w:t>7/24/2014</w:t>
            </w:r>
          </w:p>
        </w:tc>
        <w:tc>
          <w:tcPr>
            <w:tcW w:w="1350" w:type="dxa"/>
            <w:vAlign w:val="center"/>
          </w:tcPr>
          <w:p w14:paraId="3B2D5C85" w14:textId="715F707D" w:rsidR="00AF5501" w:rsidRPr="00AA745A" w:rsidRDefault="00AF5501" w:rsidP="00AF5501">
            <w:pPr>
              <w:keepNext/>
              <w:keepLines/>
              <w:jc w:val="right"/>
              <w:rPr>
                <w:rFonts w:ascii="Arial" w:hAnsi="Arial" w:cs="Arial"/>
                <w:sz w:val="20"/>
                <w:szCs w:val="20"/>
              </w:rPr>
            </w:pPr>
            <w:r>
              <w:rPr>
                <w:rFonts w:ascii="Arial" w:hAnsi="Arial" w:cs="Arial"/>
                <w:sz w:val="20"/>
                <w:szCs w:val="20"/>
              </w:rPr>
              <w:t>12/13/2013</w:t>
            </w:r>
          </w:p>
        </w:tc>
      </w:tr>
      <w:tr w:rsidR="00AF5501" w14:paraId="540C99B9" w14:textId="1477DA24" w:rsidTr="00B07A26">
        <w:trPr>
          <w:jc w:val="center"/>
        </w:trPr>
        <w:tc>
          <w:tcPr>
            <w:tcW w:w="1355" w:type="dxa"/>
            <w:shd w:val="clear" w:color="auto" w:fill="auto"/>
          </w:tcPr>
          <w:p w14:paraId="38DDAF53" w14:textId="0BA47FCB" w:rsidR="00AF5501" w:rsidRPr="009E692D" w:rsidRDefault="00AF5501" w:rsidP="00AF5501">
            <w:pPr>
              <w:keepNext/>
              <w:keepLines/>
              <w:jc w:val="right"/>
              <w:rPr>
                <w:rFonts w:ascii="Arial" w:hAnsi="Arial" w:cs="Arial"/>
                <w:sz w:val="20"/>
                <w:szCs w:val="20"/>
              </w:rPr>
            </w:pPr>
            <w:r>
              <w:rPr>
                <w:rFonts w:ascii="Arial" w:hAnsi="Arial" w:cs="Arial"/>
                <w:sz w:val="20"/>
                <w:szCs w:val="20"/>
              </w:rPr>
              <w:t>9</w:t>
            </w:r>
            <w:r w:rsidRPr="009E692D">
              <w:rPr>
                <w:rFonts w:ascii="Arial" w:hAnsi="Arial" w:cs="Arial"/>
                <w:sz w:val="20"/>
                <w:szCs w:val="20"/>
              </w:rPr>
              <w:t>/</w:t>
            </w:r>
            <w:r>
              <w:rPr>
                <w:rFonts w:ascii="Arial" w:hAnsi="Arial" w:cs="Arial"/>
                <w:sz w:val="20"/>
                <w:szCs w:val="20"/>
              </w:rPr>
              <w:t>10</w:t>
            </w:r>
            <w:r w:rsidRPr="009E692D">
              <w:rPr>
                <w:rFonts w:ascii="Arial" w:hAnsi="Arial" w:cs="Arial"/>
                <w:sz w:val="20"/>
                <w:szCs w:val="20"/>
              </w:rPr>
              <w:t>/2014</w:t>
            </w:r>
          </w:p>
        </w:tc>
        <w:tc>
          <w:tcPr>
            <w:tcW w:w="1354" w:type="dxa"/>
            <w:shd w:val="clear" w:color="auto" w:fill="auto"/>
          </w:tcPr>
          <w:p w14:paraId="15518FC2" w14:textId="6403244F" w:rsidR="00AF5501" w:rsidRPr="00AA745A" w:rsidRDefault="00AF5501" w:rsidP="00AF5501">
            <w:pPr>
              <w:keepNext/>
              <w:keepLines/>
              <w:jc w:val="right"/>
              <w:rPr>
                <w:rFonts w:ascii="Arial" w:hAnsi="Arial" w:cs="Arial"/>
                <w:sz w:val="20"/>
                <w:szCs w:val="20"/>
              </w:rPr>
            </w:pPr>
            <w:r>
              <w:rPr>
                <w:rFonts w:ascii="Arial" w:hAnsi="Arial" w:cs="Arial"/>
                <w:sz w:val="20"/>
                <w:szCs w:val="20"/>
              </w:rPr>
              <w:t>2</w:t>
            </w:r>
            <w:r w:rsidRPr="009E692D">
              <w:rPr>
                <w:rFonts w:ascii="Arial" w:hAnsi="Arial" w:cs="Arial"/>
                <w:sz w:val="20"/>
                <w:szCs w:val="20"/>
              </w:rPr>
              <w:t>/</w:t>
            </w:r>
            <w:r>
              <w:rPr>
                <w:rFonts w:ascii="Arial" w:hAnsi="Arial" w:cs="Arial"/>
                <w:sz w:val="20"/>
                <w:szCs w:val="20"/>
              </w:rPr>
              <w:t>7</w:t>
            </w:r>
            <w:r w:rsidRPr="009E692D">
              <w:rPr>
                <w:rFonts w:ascii="Arial" w:hAnsi="Arial" w:cs="Arial"/>
                <w:sz w:val="20"/>
                <w:szCs w:val="20"/>
              </w:rPr>
              <w:t>/2014</w:t>
            </w:r>
          </w:p>
        </w:tc>
        <w:tc>
          <w:tcPr>
            <w:tcW w:w="1217" w:type="dxa"/>
          </w:tcPr>
          <w:p w14:paraId="38EE8660" w14:textId="7A9B006B" w:rsidR="00AF5501" w:rsidRDefault="00AF5501" w:rsidP="00AF5501">
            <w:pPr>
              <w:keepNext/>
              <w:keepLines/>
              <w:jc w:val="right"/>
              <w:rPr>
                <w:rFonts w:ascii="Arial" w:hAnsi="Arial" w:cs="Arial"/>
                <w:sz w:val="20"/>
                <w:szCs w:val="20"/>
              </w:rPr>
            </w:pPr>
            <w:r>
              <w:rPr>
                <w:rFonts w:ascii="Arial" w:hAnsi="Arial" w:cs="Arial"/>
                <w:sz w:val="20"/>
                <w:szCs w:val="20"/>
              </w:rPr>
              <w:t>12</w:t>
            </w:r>
            <w:r w:rsidRPr="009E692D">
              <w:rPr>
                <w:rFonts w:ascii="Arial" w:hAnsi="Arial" w:cs="Arial"/>
                <w:sz w:val="20"/>
                <w:szCs w:val="20"/>
              </w:rPr>
              <w:t>/</w:t>
            </w:r>
            <w:r>
              <w:rPr>
                <w:rFonts w:ascii="Arial" w:hAnsi="Arial" w:cs="Arial"/>
                <w:sz w:val="20"/>
                <w:szCs w:val="20"/>
              </w:rPr>
              <w:t>6</w:t>
            </w:r>
            <w:r w:rsidRPr="009E692D">
              <w:rPr>
                <w:rFonts w:ascii="Arial" w:hAnsi="Arial" w:cs="Arial"/>
                <w:sz w:val="20"/>
                <w:szCs w:val="20"/>
              </w:rPr>
              <w:t>/201</w:t>
            </w:r>
            <w:r>
              <w:rPr>
                <w:rFonts w:ascii="Arial" w:hAnsi="Arial" w:cs="Arial"/>
                <w:sz w:val="20"/>
                <w:szCs w:val="20"/>
              </w:rPr>
              <w:t>3</w:t>
            </w:r>
          </w:p>
        </w:tc>
        <w:tc>
          <w:tcPr>
            <w:tcW w:w="1288" w:type="dxa"/>
            <w:vAlign w:val="center"/>
          </w:tcPr>
          <w:p w14:paraId="7FF4C3B0" w14:textId="35CCCF2F" w:rsidR="00AF5501" w:rsidRPr="00AA745A" w:rsidRDefault="00AF5501" w:rsidP="00AF5501">
            <w:pPr>
              <w:keepNext/>
              <w:keepLines/>
              <w:jc w:val="right"/>
              <w:rPr>
                <w:rFonts w:ascii="Arial" w:hAnsi="Arial" w:cs="Arial"/>
                <w:sz w:val="20"/>
                <w:szCs w:val="20"/>
              </w:rPr>
            </w:pPr>
            <w:r>
              <w:rPr>
                <w:rFonts w:ascii="Arial" w:hAnsi="Arial" w:cs="Arial"/>
                <w:sz w:val="20"/>
                <w:szCs w:val="20"/>
              </w:rPr>
              <w:t>7/28/2014</w:t>
            </w:r>
          </w:p>
        </w:tc>
        <w:tc>
          <w:tcPr>
            <w:tcW w:w="1350" w:type="dxa"/>
            <w:vAlign w:val="center"/>
          </w:tcPr>
          <w:p w14:paraId="6C0439D6" w14:textId="756B6B89" w:rsidR="00AF5501" w:rsidRPr="00AA745A" w:rsidRDefault="00AF5501" w:rsidP="00AF5501">
            <w:pPr>
              <w:keepNext/>
              <w:keepLines/>
              <w:jc w:val="right"/>
              <w:rPr>
                <w:rFonts w:ascii="Arial" w:hAnsi="Arial" w:cs="Arial"/>
                <w:sz w:val="20"/>
                <w:szCs w:val="20"/>
              </w:rPr>
            </w:pPr>
            <w:r>
              <w:rPr>
                <w:rFonts w:ascii="Arial" w:hAnsi="Arial" w:cs="Arial"/>
                <w:sz w:val="20"/>
                <w:szCs w:val="20"/>
              </w:rPr>
              <w:t>12/20/2013</w:t>
            </w:r>
          </w:p>
        </w:tc>
      </w:tr>
      <w:tr w:rsidR="00AF5501" w14:paraId="2F74A61C" w14:textId="31FE7233" w:rsidTr="00B07A26">
        <w:trPr>
          <w:jc w:val="center"/>
        </w:trPr>
        <w:tc>
          <w:tcPr>
            <w:tcW w:w="1355" w:type="dxa"/>
            <w:shd w:val="clear" w:color="auto" w:fill="auto"/>
          </w:tcPr>
          <w:p w14:paraId="0272250E" w14:textId="60A0F4C2" w:rsidR="00AF5501" w:rsidRPr="009E692D" w:rsidRDefault="00AF5501" w:rsidP="00AF5501">
            <w:pPr>
              <w:keepNext/>
              <w:keepLines/>
              <w:jc w:val="right"/>
              <w:rPr>
                <w:rFonts w:ascii="Arial" w:hAnsi="Arial" w:cs="Arial"/>
                <w:sz w:val="20"/>
                <w:szCs w:val="20"/>
              </w:rPr>
            </w:pPr>
            <w:r>
              <w:rPr>
                <w:rFonts w:ascii="Arial" w:hAnsi="Arial" w:cs="Arial"/>
                <w:sz w:val="20"/>
                <w:szCs w:val="20"/>
              </w:rPr>
              <w:t>10/3</w:t>
            </w:r>
            <w:r w:rsidRPr="009E692D">
              <w:rPr>
                <w:rFonts w:ascii="Arial" w:hAnsi="Arial" w:cs="Arial"/>
                <w:sz w:val="20"/>
                <w:szCs w:val="20"/>
              </w:rPr>
              <w:t>/2014</w:t>
            </w:r>
          </w:p>
        </w:tc>
        <w:tc>
          <w:tcPr>
            <w:tcW w:w="1354" w:type="dxa"/>
            <w:shd w:val="clear" w:color="auto" w:fill="auto"/>
          </w:tcPr>
          <w:p w14:paraId="6AFA4EAB" w14:textId="6794C85C" w:rsidR="00AF5501" w:rsidRPr="00AA745A" w:rsidRDefault="00AF5501" w:rsidP="00AF5501">
            <w:pPr>
              <w:keepNext/>
              <w:keepLines/>
              <w:jc w:val="right"/>
              <w:rPr>
                <w:rFonts w:ascii="Arial" w:hAnsi="Arial" w:cs="Arial"/>
                <w:sz w:val="20"/>
                <w:szCs w:val="20"/>
              </w:rPr>
            </w:pPr>
            <w:r>
              <w:rPr>
                <w:rFonts w:ascii="Arial" w:hAnsi="Arial" w:cs="Arial"/>
                <w:sz w:val="20"/>
                <w:szCs w:val="20"/>
              </w:rPr>
              <w:t>2</w:t>
            </w:r>
            <w:r w:rsidRPr="009E692D">
              <w:rPr>
                <w:rFonts w:ascii="Arial" w:hAnsi="Arial" w:cs="Arial"/>
                <w:sz w:val="20"/>
                <w:szCs w:val="20"/>
              </w:rPr>
              <w:t>/2</w:t>
            </w:r>
            <w:r>
              <w:rPr>
                <w:rFonts w:ascii="Arial" w:hAnsi="Arial" w:cs="Arial"/>
                <w:sz w:val="20"/>
                <w:szCs w:val="20"/>
              </w:rPr>
              <w:t>6</w:t>
            </w:r>
            <w:r w:rsidRPr="009E692D">
              <w:rPr>
                <w:rFonts w:ascii="Arial" w:hAnsi="Arial" w:cs="Arial"/>
                <w:sz w:val="20"/>
                <w:szCs w:val="20"/>
              </w:rPr>
              <w:t>/2014</w:t>
            </w:r>
          </w:p>
        </w:tc>
        <w:tc>
          <w:tcPr>
            <w:tcW w:w="1217" w:type="dxa"/>
          </w:tcPr>
          <w:p w14:paraId="452FFFE5" w14:textId="276C15AA" w:rsidR="00AF5501" w:rsidRDefault="00AF5501" w:rsidP="00AF5501">
            <w:pPr>
              <w:keepNext/>
              <w:keepLines/>
              <w:jc w:val="right"/>
              <w:rPr>
                <w:rFonts w:ascii="Arial" w:hAnsi="Arial" w:cs="Arial"/>
                <w:sz w:val="20"/>
                <w:szCs w:val="20"/>
              </w:rPr>
            </w:pPr>
            <w:r>
              <w:rPr>
                <w:rFonts w:ascii="Arial" w:hAnsi="Arial" w:cs="Arial"/>
                <w:sz w:val="20"/>
                <w:szCs w:val="20"/>
              </w:rPr>
              <w:t>12</w:t>
            </w:r>
            <w:r w:rsidRPr="009E692D">
              <w:rPr>
                <w:rFonts w:ascii="Arial" w:hAnsi="Arial" w:cs="Arial"/>
                <w:sz w:val="20"/>
                <w:szCs w:val="20"/>
              </w:rPr>
              <w:t>/1</w:t>
            </w:r>
            <w:r>
              <w:rPr>
                <w:rFonts w:ascii="Arial" w:hAnsi="Arial" w:cs="Arial"/>
                <w:sz w:val="20"/>
                <w:szCs w:val="20"/>
              </w:rPr>
              <w:t>9</w:t>
            </w:r>
            <w:r w:rsidRPr="009E692D">
              <w:rPr>
                <w:rFonts w:ascii="Arial" w:hAnsi="Arial" w:cs="Arial"/>
                <w:sz w:val="20"/>
                <w:szCs w:val="20"/>
              </w:rPr>
              <w:t>/201</w:t>
            </w:r>
            <w:r>
              <w:rPr>
                <w:rFonts w:ascii="Arial" w:hAnsi="Arial" w:cs="Arial"/>
                <w:sz w:val="20"/>
                <w:szCs w:val="20"/>
              </w:rPr>
              <w:t>3</w:t>
            </w:r>
          </w:p>
        </w:tc>
        <w:tc>
          <w:tcPr>
            <w:tcW w:w="1288" w:type="dxa"/>
            <w:vAlign w:val="center"/>
          </w:tcPr>
          <w:p w14:paraId="45070070" w14:textId="0D3516CB" w:rsidR="00AF5501" w:rsidRPr="00AA745A" w:rsidRDefault="00AF5501" w:rsidP="00AF5501">
            <w:pPr>
              <w:keepNext/>
              <w:keepLines/>
              <w:jc w:val="right"/>
              <w:rPr>
                <w:rFonts w:ascii="Arial" w:hAnsi="Arial" w:cs="Arial"/>
                <w:sz w:val="20"/>
                <w:szCs w:val="20"/>
              </w:rPr>
            </w:pPr>
            <w:r>
              <w:rPr>
                <w:rFonts w:ascii="Arial" w:hAnsi="Arial" w:cs="Arial"/>
                <w:sz w:val="20"/>
                <w:szCs w:val="20"/>
              </w:rPr>
              <w:t>8/27/2014</w:t>
            </w:r>
          </w:p>
        </w:tc>
        <w:tc>
          <w:tcPr>
            <w:tcW w:w="1350" w:type="dxa"/>
            <w:vAlign w:val="center"/>
          </w:tcPr>
          <w:p w14:paraId="38A8B256" w14:textId="350957FD" w:rsidR="00AF5501" w:rsidRPr="00AA745A" w:rsidRDefault="00AF5501" w:rsidP="00AF5501">
            <w:pPr>
              <w:keepNext/>
              <w:keepLines/>
              <w:jc w:val="right"/>
              <w:rPr>
                <w:rFonts w:ascii="Arial" w:hAnsi="Arial" w:cs="Arial"/>
                <w:sz w:val="20"/>
                <w:szCs w:val="20"/>
              </w:rPr>
            </w:pPr>
            <w:r>
              <w:rPr>
                <w:rFonts w:ascii="Arial" w:hAnsi="Arial" w:cs="Arial"/>
                <w:sz w:val="20"/>
                <w:szCs w:val="20"/>
              </w:rPr>
              <w:t>1/9/2014</w:t>
            </w:r>
          </w:p>
        </w:tc>
      </w:tr>
      <w:tr w:rsidR="00AF5501" w14:paraId="5D17C1EB" w14:textId="19DD315D" w:rsidTr="00B07A26">
        <w:trPr>
          <w:jc w:val="center"/>
        </w:trPr>
        <w:tc>
          <w:tcPr>
            <w:tcW w:w="1355" w:type="dxa"/>
            <w:shd w:val="clear" w:color="auto" w:fill="auto"/>
          </w:tcPr>
          <w:p w14:paraId="2915402A" w14:textId="5D61BCFF" w:rsidR="00AF5501" w:rsidRPr="009E692D" w:rsidRDefault="00AF5501" w:rsidP="00AF5501">
            <w:pPr>
              <w:keepNext/>
              <w:keepLines/>
              <w:jc w:val="right"/>
              <w:rPr>
                <w:rFonts w:ascii="Arial" w:hAnsi="Arial" w:cs="Arial"/>
                <w:sz w:val="20"/>
                <w:szCs w:val="20"/>
              </w:rPr>
            </w:pPr>
            <w:r>
              <w:rPr>
                <w:rFonts w:ascii="Arial" w:hAnsi="Arial" w:cs="Arial"/>
                <w:sz w:val="20"/>
                <w:szCs w:val="20"/>
              </w:rPr>
              <w:t>10</w:t>
            </w:r>
            <w:r w:rsidRPr="009E692D">
              <w:rPr>
                <w:rFonts w:ascii="Arial" w:hAnsi="Arial" w:cs="Arial"/>
                <w:sz w:val="20"/>
                <w:szCs w:val="20"/>
              </w:rPr>
              <w:t>/</w:t>
            </w:r>
            <w:r>
              <w:rPr>
                <w:rFonts w:ascii="Arial" w:hAnsi="Arial" w:cs="Arial"/>
                <w:sz w:val="20"/>
                <w:szCs w:val="20"/>
              </w:rPr>
              <w:t>6</w:t>
            </w:r>
            <w:r w:rsidRPr="009E692D">
              <w:rPr>
                <w:rFonts w:ascii="Arial" w:hAnsi="Arial" w:cs="Arial"/>
                <w:sz w:val="20"/>
                <w:szCs w:val="20"/>
              </w:rPr>
              <w:t>/2014</w:t>
            </w:r>
          </w:p>
        </w:tc>
        <w:tc>
          <w:tcPr>
            <w:tcW w:w="1354" w:type="dxa"/>
            <w:shd w:val="clear" w:color="auto" w:fill="auto"/>
          </w:tcPr>
          <w:p w14:paraId="7564BBF3" w14:textId="51D74D35" w:rsidR="00AF5501" w:rsidRPr="00AA745A" w:rsidRDefault="00AF5501" w:rsidP="00AF5501">
            <w:pPr>
              <w:keepNext/>
              <w:keepLines/>
              <w:jc w:val="right"/>
              <w:rPr>
                <w:rFonts w:ascii="Arial" w:hAnsi="Arial" w:cs="Arial"/>
                <w:sz w:val="20"/>
                <w:szCs w:val="20"/>
              </w:rPr>
            </w:pPr>
            <w:r>
              <w:rPr>
                <w:rFonts w:ascii="Arial" w:hAnsi="Arial" w:cs="Arial"/>
                <w:sz w:val="20"/>
                <w:szCs w:val="20"/>
              </w:rPr>
              <w:t>2</w:t>
            </w:r>
            <w:r w:rsidRPr="009E692D">
              <w:rPr>
                <w:rFonts w:ascii="Arial" w:hAnsi="Arial" w:cs="Arial"/>
                <w:sz w:val="20"/>
                <w:szCs w:val="20"/>
              </w:rPr>
              <w:t>/</w:t>
            </w:r>
            <w:r>
              <w:rPr>
                <w:rFonts w:ascii="Arial" w:hAnsi="Arial" w:cs="Arial"/>
                <w:sz w:val="20"/>
                <w:szCs w:val="20"/>
              </w:rPr>
              <w:t>2</w:t>
            </w:r>
            <w:r w:rsidRPr="009E692D">
              <w:rPr>
                <w:rFonts w:ascii="Arial" w:hAnsi="Arial" w:cs="Arial"/>
                <w:sz w:val="20"/>
                <w:szCs w:val="20"/>
              </w:rPr>
              <w:t>8/2014</w:t>
            </w:r>
          </w:p>
        </w:tc>
        <w:tc>
          <w:tcPr>
            <w:tcW w:w="1217" w:type="dxa"/>
          </w:tcPr>
          <w:p w14:paraId="7D376994" w14:textId="7887D9EB" w:rsidR="00AF5501" w:rsidRDefault="00AF5501" w:rsidP="00AF5501">
            <w:pPr>
              <w:keepNext/>
              <w:keepLines/>
              <w:jc w:val="right"/>
              <w:rPr>
                <w:rFonts w:ascii="Arial" w:hAnsi="Arial" w:cs="Arial"/>
                <w:sz w:val="20"/>
                <w:szCs w:val="20"/>
              </w:rPr>
            </w:pPr>
            <w:r>
              <w:rPr>
                <w:rFonts w:ascii="Arial" w:hAnsi="Arial" w:cs="Arial"/>
                <w:sz w:val="20"/>
                <w:szCs w:val="20"/>
              </w:rPr>
              <w:t>2</w:t>
            </w:r>
            <w:r w:rsidRPr="009E692D">
              <w:rPr>
                <w:rFonts w:ascii="Arial" w:hAnsi="Arial" w:cs="Arial"/>
                <w:sz w:val="20"/>
                <w:szCs w:val="20"/>
              </w:rPr>
              <w:t>/</w:t>
            </w:r>
            <w:r>
              <w:rPr>
                <w:rFonts w:ascii="Arial" w:hAnsi="Arial" w:cs="Arial"/>
                <w:sz w:val="20"/>
                <w:szCs w:val="20"/>
              </w:rPr>
              <w:t>3</w:t>
            </w:r>
            <w:r w:rsidRPr="009E692D">
              <w:rPr>
                <w:rFonts w:ascii="Arial" w:hAnsi="Arial" w:cs="Arial"/>
                <w:sz w:val="20"/>
                <w:szCs w:val="20"/>
              </w:rPr>
              <w:t>/2014</w:t>
            </w:r>
          </w:p>
        </w:tc>
        <w:tc>
          <w:tcPr>
            <w:tcW w:w="1288" w:type="dxa"/>
            <w:vAlign w:val="center"/>
          </w:tcPr>
          <w:p w14:paraId="319CFB06" w14:textId="48B81F9F" w:rsidR="00AF5501" w:rsidRPr="00AA745A" w:rsidRDefault="00AF5501" w:rsidP="00AF5501">
            <w:pPr>
              <w:keepNext/>
              <w:keepLines/>
              <w:jc w:val="right"/>
              <w:rPr>
                <w:rFonts w:ascii="Arial" w:hAnsi="Arial" w:cs="Arial"/>
                <w:sz w:val="20"/>
                <w:szCs w:val="20"/>
              </w:rPr>
            </w:pPr>
            <w:r>
              <w:rPr>
                <w:rFonts w:ascii="Arial" w:hAnsi="Arial" w:cs="Arial"/>
                <w:sz w:val="20"/>
                <w:szCs w:val="20"/>
              </w:rPr>
              <w:t>9/8/2014</w:t>
            </w:r>
          </w:p>
        </w:tc>
        <w:tc>
          <w:tcPr>
            <w:tcW w:w="1350" w:type="dxa"/>
            <w:vAlign w:val="center"/>
          </w:tcPr>
          <w:p w14:paraId="6E56D2C5" w14:textId="42814A12" w:rsidR="00AF5501" w:rsidRPr="00AA745A" w:rsidRDefault="00AF5501" w:rsidP="00AF5501">
            <w:pPr>
              <w:keepNext/>
              <w:keepLines/>
              <w:jc w:val="right"/>
              <w:rPr>
                <w:rFonts w:ascii="Arial" w:hAnsi="Arial" w:cs="Arial"/>
                <w:sz w:val="20"/>
                <w:szCs w:val="20"/>
              </w:rPr>
            </w:pPr>
            <w:r>
              <w:rPr>
                <w:rFonts w:ascii="Arial" w:hAnsi="Arial" w:cs="Arial"/>
                <w:sz w:val="20"/>
                <w:szCs w:val="20"/>
              </w:rPr>
              <w:t>2/4/2014</w:t>
            </w:r>
          </w:p>
        </w:tc>
      </w:tr>
      <w:tr w:rsidR="00AF5501" w14:paraId="59D42CEB" w14:textId="620FAFEE" w:rsidTr="00B07A26">
        <w:trPr>
          <w:jc w:val="center"/>
        </w:trPr>
        <w:tc>
          <w:tcPr>
            <w:tcW w:w="1355" w:type="dxa"/>
            <w:shd w:val="clear" w:color="auto" w:fill="auto"/>
          </w:tcPr>
          <w:p w14:paraId="737732EE" w14:textId="0B883F5A" w:rsidR="00AF5501" w:rsidRPr="009E692D" w:rsidRDefault="00AF5501" w:rsidP="00AF5501">
            <w:pPr>
              <w:keepNext/>
              <w:keepLines/>
              <w:jc w:val="right"/>
              <w:rPr>
                <w:rFonts w:ascii="Arial" w:hAnsi="Arial" w:cs="Arial"/>
                <w:sz w:val="20"/>
                <w:szCs w:val="20"/>
              </w:rPr>
            </w:pPr>
            <w:r>
              <w:rPr>
                <w:rFonts w:ascii="Arial" w:hAnsi="Arial" w:cs="Arial"/>
                <w:sz w:val="20"/>
                <w:szCs w:val="20"/>
              </w:rPr>
              <w:t>10/17</w:t>
            </w:r>
            <w:r w:rsidRPr="009E692D">
              <w:rPr>
                <w:rFonts w:ascii="Arial" w:hAnsi="Arial" w:cs="Arial"/>
                <w:sz w:val="20"/>
                <w:szCs w:val="20"/>
              </w:rPr>
              <w:t>/2014</w:t>
            </w:r>
          </w:p>
        </w:tc>
        <w:tc>
          <w:tcPr>
            <w:tcW w:w="1354" w:type="dxa"/>
            <w:shd w:val="clear" w:color="auto" w:fill="auto"/>
          </w:tcPr>
          <w:p w14:paraId="2723C276" w14:textId="4BB9D7A6" w:rsidR="00AF5501" w:rsidRPr="00AA745A" w:rsidRDefault="00AF5501" w:rsidP="00AF5501">
            <w:pPr>
              <w:keepNext/>
              <w:keepLines/>
              <w:jc w:val="right"/>
              <w:rPr>
                <w:rFonts w:ascii="Arial" w:hAnsi="Arial" w:cs="Arial"/>
                <w:sz w:val="20"/>
                <w:szCs w:val="20"/>
              </w:rPr>
            </w:pPr>
            <w:r>
              <w:rPr>
                <w:rFonts w:ascii="Arial" w:hAnsi="Arial" w:cs="Arial"/>
                <w:sz w:val="20"/>
                <w:szCs w:val="20"/>
              </w:rPr>
              <w:t>3</w:t>
            </w:r>
            <w:r w:rsidRPr="009E692D">
              <w:rPr>
                <w:rFonts w:ascii="Arial" w:hAnsi="Arial" w:cs="Arial"/>
                <w:sz w:val="20"/>
                <w:szCs w:val="20"/>
              </w:rPr>
              <w:t>/</w:t>
            </w:r>
            <w:r>
              <w:rPr>
                <w:rFonts w:ascii="Arial" w:hAnsi="Arial" w:cs="Arial"/>
                <w:sz w:val="20"/>
                <w:szCs w:val="20"/>
              </w:rPr>
              <w:t>31</w:t>
            </w:r>
            <w:r w:rsidRPr="009E692D">
              <w:rPr>
                <w:rFonts w:ascii="Arial" w:hAnsi="Arial" w:cs="Arial"/>
                <w:sz w:val="20"/>
                <w:szCs w:val="20"/>
              </w:rPr>
              <w:t>/2014</w:t>
            </w:r>
          </w:p>
        </w:tc>
        <w:tc>
          <w:tcPr>
            <w:tcW w:w="1217" w:type="dxa"/>
          </w:tcPr>
          <w:p w14:paraId="3C832A50" w14:textId="77777777" w:rsidR="00AF5501" w:rsidRDefault="00AF5501" w:rsidP="00AF5501">
            <w:pPr>
              <w:keepNext/>
              <w:keepLines/>
              <w:jc w:val="right"/>
              <w:rPr>
                <w:rFonts w:ascii="Arial" w:hAnsi="Arial" w:cs="Arial"/>
                <w:sz w:val="20"/>
                <w:szCs w:val="20"/>
              </w:rPr>
            </w:pPr>
          </w:p>
        </w:tc>
        <w:tc>
          <w:tcPr>
            <w:tcW w:w="1288" w:type="dxa"/>
            <w:vAlign w:val="center"/>
          </w:tcPr>
          <w:p w14:paraId="4A5B9220" w14:textId="34989A72" w:rsidR="00AF5501" w:rsidRPr="00AA745A" w:rsidRDefault="00AF5501" w:rsidP="00AF5501">
            <w:pPr>
              <w:keepNext/>
              <w:keepLines/>
              <w:jc w:val="right"/>
              <w:rPr>
                <w:rFonts w:ascii="Arial" w:hAnsi="Arial" w:cs="Arial"/>
                <w:sz w:val="20"/>
                <w:szCs w:val="20"/>
              </w:rPr>
            </w:pPr>
          </w:p>
        </w:tc>
        <w:tc>
          <w:tcPr>
            <w:tcW w:w="1350" w:type="dxa"/>
            <w:vAlign w:val="center"/>
          </w:tcPr>
          <w:p w14:paraId="3601B48F" w14:textId="7503611D" w:rsidR="00AF5501" w:rsidRPr="00AA745A" w:rsidRDefault="00AF5501" w:rsidP="00AF5501">
            <w:pPr>
              <w:keepNext/>
              <w:keepLines/>
              <w:jc w:val="right"/>
              <w:rPr>
                <w:rFonts w:ascii="Arial" w:hAnsi="Arial" w:cs="Arial"/>
                <w:sz w:val="20"/>
                <w:szCs w:val="20"/>
              </w:rPr>
            </w:pPr>
            <w:r>
              <w:rPr>
                <w:rFonts w:ascii="Arial" w:hAnsi="Arial" w:cs="Arial"/>
                <w:sz w:val="20"/>
                <w:szCs w:val="20"/>
              </w:rPr>
              <w:t>2/5/2014</w:t>
            </w:r>
          </w:p>
        </w:tc>
      </w:tr>
      <w:tr w:rsidR="00AF5501" w14:paraId="1BB8F3EB" w14:textId="19B59DDC" w:rsidTr="00B07A26">
        <w:trPr>
          <w:jc w:val="center"/>
        </w:trPr>
        <w:tc>
          <w:tcPr>
            <w:tcW w:w="1355" w:type="dxa"/>
            <w:shd w:val="clear" w:color="auto" w:fill="auto"/>
          </w:tcPr>
          <w:p w14:paraId="3BCC2C4E" w14:textId="649D85C7" w:rsidR="00AF5501" w:rsidRPr="009E692D" w:rsidRDefault="00AF5501" w:rsidP="00AF5501">
            <w:pPr>
              <w:keepNext/>
              <w:keepLines/>
              <w:jc w:val="right"/>
              <w:rPr>
                <w:rFonts w:ascii="Arial" w:hAnsi="Arial" w:cs="Arial"/>
                <w:sz w:val="20"/>
                <w:szCs w:val="20"/>
              </w:rPr>
            </w:pPr>
            <w:r>
              <w:rPr>
                <w:rFonts w:ascii="Arial" w:hAnsi="Arial" w:cs="Arial"/>
                <w:sz w:val="20"/>
                <w:szCs w:val="20"/>
              </w:rPr>
              <w:t>10</w:t>
            </w:r>
            <w:r w:rsidRPr="009E692D">
              <w:rPr>
                <w:rFonts w:ascii="Arial" w:hAnsi="Arial" w:cs="Arial"/>
                <w:sz w:val="20"/>
                <w:szCs w:val="20"/>
              </w:rPr>
              <w:t>/</w:t>
            </w:r>
            <w:r>
              <w:rPr>
                <w:rFonts w:ascii="Arial" w:hAnsi="Arial" w:cs="Arial"/>
                <w:sz w:val="20"/>
                <w:szCs w:val="20"/>
              </w:rPr>
              <w:t>22</w:t>
            </w:r>
            <w:r w:rsidRPr="009E692D">
              <w:rPr>
                <w:rFonts w:ascii="Arial" w:hAnsi="Arial" w:cs="Arial"/>
                <w:sz w:val="20"/>
                <w:szCs w:val="20"/>
              </w:rPr>
              <w:t>/2014</w:t>
            </w:r>
          </w:p>
        </w:tc>
        <w:tc>
          <w:tcPr>
            <w:tcW w:w="1354" w:type="dxa"/>
            <w:shd w:val="clear" w:color="auto" w:fill="auto"/>
          </w:tcPr>
          <w:p w14:paraId="1C3B72E6" w14:textId="3392DCA3" w:rsidR="00AF5501" w:rsidRPr="00AA745A" w:rsidRDefault="00AF5501" w:rsidP="00AF5501">
            <w:pPr>
              <w:keepNext/>
              <w:keepLines/>
              <w:jc w:val="right"/>
              <w:rPr>
                <w:rFonts w:ascii="Arial" w:hAnsi="Arial" w:cs="Arial"/>
                <w:sz w:val="20"/>
                <w:szCs w:val="20"/>
              </w:rPr>
            </w:pPr>
            <w:r>
              <w:rPr>
                <w:rFonts w:ascii="Arial" w:hAnsi="Arial" w:cs="Arial"/>
                <w:sz w:val="20"/>
                <w:szCs w:val="20"/>
              </w:rPr>
              <w:t>4</w:t>
            </w:r>
            <w:r w:rsidRPr="009E692D">
              <w:rPr>
                <w:rFonts w:ascii="Arial" w:hAnsi="Arial" w:cs="Arial"/>
                <w:sz w:val="20"/>
                <w:szCs w:val="20"/>
              </w:rPr>
              <w:t>/1/2014</w:t>
            </w:r>
          </w:p>
        </w:tc>
        <w:tc>
          <w:tcPr>
            <w:tcW w:w="1217" w:type="dxa"/>
          </w:tcPr>
          <w:p w14:paraId="4EE0AB27" w14:textId="77777777" w:rsidR="00AF5501" w:rsidRDefault="00AF5501" w:rsidP="00AF5501">
            <w:pPr>
              <w:keepNext/>
              <w:keepLines/>
              <w:jc w:val="right"/>
              <w:rPr>
                <w:rFonts w:ascii="Arial" w:hAnsi="Arial" w:cs="Arial"/>
                <w:sz w:val="20"/>
                <w:szCs w:val="20"/>
              </w:rPr>
            </w:pPr>
          </w:p>
        </w:tc>
        <w:tc>
          <w:tcPr>
            <w:tcW w:w="1288" w:type="dxa"/>
          </w:tcPr>
          <w:p w14:paraId="48A4EECA" w14:textId="5D69E812" w:rsidR="00AF5501" w:rsidRPr="00AA745A" w:rsidRDefault="00AF5501" w:rsidP="00AF5501">
            <w:pPr>
              <w:keepNext/>
              <w:keepLines/>
              <w:jc w:val="right"/>
              <w:rPr>
                <w:rFonts w:ascii="Arial" w:hAnsi="Arial" w:cs="Arial"/>
                <w:sz w:val="20"/>
                <w:szCs w:val="20"/>
              </w:rPr>
            </w:pPr>
          </w:p>
        </w:tc>
        <w:tc>
          <w:tcPr>
            <w:tcW w:w="1350" w:type="dxa"/>
            <w:vAlign w:val="center"/>
          </w:tcPr>
          <w:p w14:paraId="7A6984D0" w14:textId="77777777" w:rsidR="00AF5501" w:rsidRPr="00AA745A" w:rsidRDefault="00AF5501" w:rsidP="00AF5501">
            <w:pPr>
              <w:keepNext/>
              <w:keepLines/>
              <w:jc w:val="right"/>
              <w:rPr>
                <w:rFonts w:ascii="Arial" w:hAnsi="Arial" w:cs="Arial"/>
                <w:sz w:val="20"/>
                <w:szCs w:val="20"/>
              </w:rPr>
            </w:pPr>
          </w:p>
        </w:tc>
      </w:tr>
    </w:tbl>
    <w:p w14:paraId="29F24F60" w14:textId="77777777" w:rsidR="007772B0" w:rsidRDefault="007772B0" w:rsidP="007772B0">
      <w:pPr>
        <w:pStyle w:val="Heading3"/>
      </w:pPr>
      <w:bookmarkStart w:id="263" w:name="_Toc415488995"/>
      <w:r>
        <w:t>A.1.2 Results from Tests of Alternative Weather Specifications</w:t>
      </w:r>
      <w:bookmarkEnd w:id="263"/>
    </w:p>
    <w:p w14:paraId="4FDBD3B1" w14:textId="33F609F8" w:rsidR="007772B0" w:rsidRDefault="007772B0" w:rsidP="007772B0">
      <w:r>
        <w:t xml:space="preserve">For each utility, we tested </w:t>
      </w:r>
      <w:r w:rsidR="009E692D">
        <w:t>21</w:t>
      </w:r>
      <w:r>
        <w:t xml:space="preserve"> different sets of weather variables. The aggregate load used in conducting these tests was constructed separately for each utility.</w:t>
      </w:r>
    </w:p>
    <w:p w14:paraId="3F550185" w14:textId="77777777" w:rsidR="007772B0" w:rsidRDefault="007772B0" w:rsidP="007772B0"/>
    <w:p w14:paraId="3B282B73" w14:textId="3B4C6F8C" w:rsidR="007772B0" w:rsidRDefault="00882A6A" w:rsidP="007772B0">
      <w:r>
        <w:t>For each utility/season (5) and specification (21 for summer and 11 for non-summer), t</w:t>
      </w:r>
      <w:r w:rsidR="007772B0">
        <w:t>he tests are conducted by estimating one model</w:t>
      </w:r>
      <w:r>
        <w:t xml:space="preserve"> for every</w:t>
      </w:r>
      <w:r w:rsidR="007772B0">
        <w:t xml:space="preserve"> event-like day (</w:t>
      </w:r>
      <w:r>
        <w:t>7</w:t>
      </w:r>
      <w:r w:rsidR="007772B0">
        <w:t xml:space="preserve"> for PG&amp;E, </w:t>
      </w:r>
      <w:r>
        <w:t xml:space="preserve">5 </w:t>
      </w:r>
      <w:r w:rsidR="00AF5501">
        <w:t xml:space="preserve">for SCE, 5 </w:t>
      </w:r>
      <w:r>
        <w:t>for SDG&amp;</w:t>
      </w:r>
      <w:r w:rsidR="007772B0">
        <w:t>E</w:t>
      </w:r>
      <w:r>
        <w:t xml:space="preserve"> summer</w:t>
      </w:r>
      <w:r w:rsidR="007772B0">
        <w:t>,</w:t>
      </w:r>
      <w:r>
        <w:t xml:space="preserve"> and 6 for SDG&amp;E non-summer)</w:t>
      </w:r>
      <w:r w:rsidR="007772B0">
        <w:t>. Each model excludes one event-like day from the estimation model and uses the estimated parameters to predict the usage for that day. The MPE</w:t>
      </w:r>
      <w:r w:rsidR="00476FE9">
        <w:t xml:space="preserve"> and </w:t>
      </w:r>
      <w:r w:rsidR="007772B0">
        <w:t>MAPE are calculated across the</w:t>
      </w:r>
      <w:r w:rsidR="008A2873">
        <w:t xml:space="preserve"> hours-ending 13 through 20</w:t>
      </w:r>
      <w:r w:rsidR="007772B0">
        <w:t xml:space="preserve"> of the withheld days.</w:t>
      </w:r>
    </w:p>
    <w:p w14:paraId="0F17B658" w14:textId="77777777" w:rsidR="007772B0" w:rsidRDefault="007772B0" w:rsidP="007772B0"/>
    <w:p w14:paraId="1BBB0019" w14:textId="2C487AFC" w:rsidR="007772B0" w:rsidRDefault="007772B0" w:rsidP="007772B0">
      <w:r>
        <w:t>Table A.3 summarizes the adjusted R-</w:t>
      </w:r>
      <w:r w:rsidR="00882A6A">
        <w:t>squared,</w:t>
      </w:r>
      <w:r w:rsidR="00476FE9">
        <w:t xml:space="preserve"> mean </w:t>
      </w:r>
      <w:r w:rsidR="00476FE9" w:rsidRPr="00CE0406">
        <w:t>percentage error</w:t>
      </w:r>
      <w:r w:rsidR="00882A6A">
        <w:t xml:space="preserve"> </w:t>
      </w:r>
      <w:r w:rsidR="00476FE9">
        <w:t>(</w:t>
      </w:r>
      <w:r w:rsidR="00882A6A">
        <w:t>MPE</w:t>
      </w:r>
      <w:r w:rsidR="00476FE9">
        <w:t>)</w:t>
      </w:r>
      <w:r>
        <w:t xml:space="preserve">, and </w:t>
      </w:r>
      <w:r w:rsidR="00476FE9" w:rsidRPr="00CE0406">
        <w:t>mean absolute percentage error</w:t>
      </w:r>
      <w:r w:rsidR="00476FE9">
        <w:t xml:space="preserve"> (</w:t>
      </w:r>
      <w:r w:rsidR="00882A6A">
        <w:t>MAPE</w:t>
      </w:r>
      <w:r w:rsidR="00476FE9">
        <w:t>)</w:t>
      </w:r>
      <w:r w:rsidR="00882A6A">
        <w:t xml:space="preserve"> of</w:t>
      </w:r>
      <w:r>
        <w:t xml:space="preserve"> the winning specification for each program. </w:t>
      </w:r>
      <w:r w:rsidRPr="009D76A5">
        <w:t>The</w:t>
      </w:r>
      <w:r w:rsidR="00AF5501" w:rsidRPr="009D76A5">
        <w:t xml:space="preserve"> bi</w:t>
      </w:r>
      <w:r w:rsidR="009D76A5">
        <w:t>as is quite low</w:t>
      </w:r>
      <w:r w:rsidR="009D76A5" w:rsidRPr="009D76A5">
        <w:t xml:space="preserve"> with the exception of </w:t>
      </w:r>
      <w:r w:rsidRPr="009D76A5">
        <w:t xml:space="preserve">the SDG&amp;E </w:t>
      </w:r>
      <w:r w:rsidR="009D76A5" w:rsidRPr="009D76A5">
        <w:t>non-summer model. That</w:t>
      </w:r>
      <w:r w:rsidRPr="009D76A5">
        <w:t xml:space="preserve"> high bias and </w:t>
      </w:r>
      <w:r w:rsidR="009D76A5" w:rsidRPr="009D76A5">
        <w:t xml:space="preserve">the high </w:t>
      </w:r>
      <w:r w:rsidRPr="009D76A5">
        <w:t xml:space="preserve">error rates for </w:t>
      </w:r>
      <w:r w:rsidR="009D76A5" w:rsidRPr="009D76A5">
        <w:t>both the SDG&amp;E</w:t>
      </w:r>
      <w:r w:rsidRPr="009D76A5">
        <w:t xml:space="preserve"> model</w:t>
      </w:r>
      <w:r w:rsidR="009D76A5" w:rsidRPr="009D76A5">
        <w:t>s</w:t>
      </w:r>
      <w:r w:rsidRPr="009D76A5">
        <w:t xml:space="preserve"> i</w:t>
      </w:r>
      <w:r w:rsidR="009D76A5" w:rsidRPr="009D76A5">
        <w:t>s likely due to the fact that SDG&amp;E’s program</w:t>
      </w:r>
      <w:r w:rsidRPr="009D76A5">
        <w:t xml:space="preserve"> contains only </w:t>
      </w:r>
      <w:r w:rsidR="009D76A5" w:rsidRPr="009D76A5">
        <w:t>seven</w:t>
      </w:r>
      <w:r w:rsidRPr="009D76A5">
        <w:t xml:space="preserve"> customer</w:t>
      </w:r>
      <w:r w:rsidR="009D76A5" w:rsidRPr="009D76A5">
        <w:t>s,</w:t>
      </w:r>
      <w:r w:rsidRPr="009D76A5">
        <w:t xml:space="preserve"> </w:t>
      </w:r>
      <w:r w:rsidR="009D76A5" w:rsidRPr="009D76A5">
        <w:t>with</w:t>
      </w:r>
      <w:r w:rsidRPr="009D76A5">
        <w:t xml:space="preserve"> somewhat large variations in load across days.</w:t>
      </w:r>
      <w:r>
        <w:t xml:space="preserve"> Model performance tends to improve as the sample size increases, since customer-specific idiosyncrasies get averaged out. This helps explain the superior performance of the PG&amp;E and SCE models, which </w:t>
      </w:r>
      <w:r w:rsidR="00882A6A">
        <w:t>are much larger programs than the</w:t>
      </w:r>
      <w:r>
        <w:t xml:space="preserve"> SDG&amp;E program.</w:t>
      </w:r>
    </w:p>
    <w:p w14:paraId="6FFF8669" w14:textId="77777777" w:rsidR="007772B0" w:rsidRDefault="007772B0" w:rsidP="007772B0"/>
    <w:p w14:paraId="38D4675A" w14:textId="77777777" w:rsidR="007772B0" w:rsidRPr="0088530C" w:rsidRDefault="007772B0" w:rsidP="007772B0">
      <w:pPr>
        <w:pStyle w:val="TableCaption"/>
        <w:keepNext/>
        <w:keepLines/>
      </w:pPr>
      <w:bookmarkStart w:id="264" w:name="_Toc415489042"/>
      <w:r w:rsidRPr="0088530C">
        <w:lastRenderedPageBreak/>
        <w:t xml:space="preserve">Table </w:t>
      </w:r>
      <w:r>
        <w:t>A</w:t>
      </w:r>
      <w:r w:rsidRPr="0088530C">
        <w:t>.3: Specification Test Results</w:t>
      </w:r>
      <w:bookmarkEnd w:id="2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523"/>
        <w:gridCol w:w="1461"/>
        <w:gridCol w:w="1396"/>
        <w:gridCol w:w="1387"/>
        <w:gridCol w:w="1271"/>
      </w:tblGrid>
      <w:tr w:rsidR="00935242" w14:paraId="21D98369" w14:textId="77777777" w:rsidTr="00935242">
        <w:trPr>
          <w:jc w:val="center"/>
        </w:trPr>
        <w:tc>
          <w:tcPr>
            <w:tcW w:w="1260" w:type="dxa"/>
            <w:shd w:val="clear" w:color="auto" w:fill="D9E2F3"/>
            <w:vAlign w:val="center"/>
          </w:tcPr>
          <w:p w14:paraId="478DAF40" w14:textId="77777777" w:rsidR="00935242" w:rsidRDefault="00935242" w:rsidP="009A32A4">
            <w:pPr>
              <w:keepNext/>
              <w:keepLines/>
              <w:jc w:val="center"/>
              <w:rPr>
                <w:rFonts w:ascii="Arial" w:hAnsi="Arial" w:cs="Arial"/>
                <w:b/>
                <w:sz w:val="20"/>
                <w:szCs w:val="20"/>
              </w:rPr>
            </w:pPr>
          </w:p>
          <w:p w14:paraId="21891600" w14:textId="749358DC" w:rsidR="00935242" w:rsidRDefault="00935242" w:rsidP="009A32A4">
            <w:pPr>
              <w:keepNext/>
              <w:keepLines/>
              <w:jc w:val="center"/>
              <w:rPr>
                <w:rFonts w:ascii="Arial" w:hAnsi="Arial" w:cs="Arial"/>
                <w:b/>
                <w:sz w:val="20"/>
                <w:szCs w:val="20"/>
              </w:rPr>
            </w:pPr>
            <w:r>
              <w:rPr>
                <w:rFonts w:ascii="Arial" w:hAnsi="Arial" w:cs="Arial"/>
                <w:b/>
                <w:sz w:val="20"/>
                <w:szCs w:val="20"/>
              </w:rPr>
              <w:t>Utility</w:t>
            </w:r>
          </w:p>
          <w:p w14:paraId="231DB91F" w14:textId="77777777" w:rsidR="00935242" w:rsidRPr="00AA745A" w:rsidRDefault="00935242" w:rsidP="009A32A4">
            <w:pPr>
              <w:keepNext/>
              <w:keepLines/>
              <w:jc w:val="center"/>
              <w:rPr>
                <w:rFonts w:ascii="Arial" w:hAnsi="Arial" w:cs="Arial"/>
                <w:b/>
                <w:sz w:val="20"/>
                <w:szCs w:val="20"/>
              </w:rPr>
            </w:pPr>
          </w:p>
        </w:tc>
        <w:tc>
          <w:tcPr>
            <w:tcW w:w="1523" w:type="dxa"/>
            <w:shd w:val="clear" w:color="auto" w:fill="D9E2F3"/>
            <w:vAlign w:val="center"/>
          </w:tcPr>
          <w:p w14:paraId="482F7167" w14:textId="5F1E5582" w:rsidR="00935242" w:rsidRPr="00935242" w:rsidRDefault="00935242" w:rsidP="00935242">
            <w:pPr>
              <w:keepNext/>
              <w:keepLines/>
              <w:jc w:val="center"/>
              <w:rPr>
                <w:rFonts w:ascii="Arial" w:hAnsi="Arial" w:cs="Arial"/>
                <w:b/>
                <w:sz w:val="20"/>
                <w:szCs w:val="20"/>
              </w:rPr>
            </w:pPr>
            <w:r>
              <w:rPr>
                <w:rFonts w:ascii="Arial" w:hAnsi="Arial" w:cs="Arial"/>
                <w:b/>
                <w:sz w:val="20"/>
                <w:szCs w:val="20"/>
              </w:rPr>
              <w:t>Season</w:t>
            </w:r>
          </w:p>
        </w:tc>
        <w:tc>
          <w:tcPr>
            <w:tcW w:w="1461" w:type="dxa"/>
            <w:shd w:val="clear" w:color="auto" w:fill="D9E2F3"/>
            <w:vAlign w:val="center"/>
          </w:tcPr>
          <w:p w14:paraId="465399CD" w14:textId="65AF1092" w:rsidR="00935242" w:rsidRPr="00AA745A" w:rsidRDefault="00935242" w:rsidP="009A32A4">
            <w:pPr>
              <w:keepNext/>
              <w:keepLines/>
              <w:jc w:val="center"/>
              <w:rPr>
                <w:rFonts w:ascii="Arial" w:hAnsi="Arial" w:cs="Arial"/>
                <w:b/>
                <w:sz w:val="20"/>
                <w:szCs w:val="20"/>
              </w:rPr>
            </w:pPr>
            <w:r>
              <w:rPr>
                <w:rFonts w:ascii="Arial" w:hAnsi="Arial" w:cs="Arial"/>
                <w:b/>
                <w:sz w:val="20"/>
                <w:szCs w:val="20"/>
              </w:rPr>
              <w:t>Selected Specification Number</w:t>
            </w:r>
          </w:p>
        </w:tc>
        <w:tc>
          <w:tcPr>
            <w:tcW w:w="1396" w:type="dxa"/>
            <w:shd w:val="clear" w:color="auto" w:fill="D9E2F3"/>
            <w:vAlign w:val="center"/>
          </w:tcPr>
          <w:p w14:paraId="10402884" w14:textId="77777777" w:rsidR="00935242" w:rsidRPr="00AA745A" w:rsidRDefault="00935242" w:rsidP="009A32A4">
            <w:pPr>
              <w:keepNext/>
              <w:keepLines/>
              <w:jc w:val="center"/>
              <w:rPr>
                <w:rFonts w:ascii="Arial" w:hAnsi="Arial" w:cs="Arial"/>
                <w:b/>
                <w:sz w:val="20"/>
                <w:szCs w:val="20"/>
              </w:rPr>
            </w:pPr>
            <w:r w:rsidRPr="00AA745A">
              <w:rPr>
                <w:rFonts w:ascii="Arial" w:hAnsi="Arial" w:cs="Arial"/>
                <w:b/>
                <w:sz w:val="20"/>
                <w:szCs w:val="20"/>
              </w:rPr>
              <w:t>Adjusted R</w:t>
            </w:r>
            <w:r w:rsidRPr="00AA745A">
              <w:rPr>
                <w:rFonts w:ascii="Arial" w:hAnsi="Arial" w:cs="Arial"/>
                <w:b/>
                <w:sz w:val="20"/>
                <w:szCs w:val="20"/>
                <w:vertAlign w:val="superscript"/>
              </w:rPr>
              <w:t>2</w:t>
            </w:r>
          </w:p>
        </w:tc>
        <w:tc>
          <w:tcPr>
            <w:tcW w:w="1387" w:type="dxa"/>
            <w:shd w:val="clear" w:color="auto" w:fill="D9E2F3"/>
            <w:vAlign w:val="center"/>
          </w:tcPr>
          <w:p w14:paraId="085EF7AB" w14:textId="77777777" w:rsidR="00935242" w:rsidRPr="00AA745A" w:rsidRDefault="00935242" w:rsidP="009A32A4">
            <w:pPr>
              <w:keepNext/>
              <w:keepLines/>
              <w:jc w:val="center"/>
              <w:rPr>
                <w:rFonts w:ascii="Arial" w:hAnsi="Arial" w:cs="Arial"/>
                <w:b/>
                <w:sz w:val="20"/>
                <w:szCs w:val="20"/>
              </w:rPr>
            </w:pPr>
            <w:r w:rsidRPr="00AA745A">
              <w:rPr>
                <w:rFonts w:ascii="Arial" w:hAnsi="Arial" w:cs="Arial"/>
                <w:b/>
                <w:sz w:val="20"/>
                <w:szCs w:val="20"/>
              </w:rPr>
              <w:t>MPE</w:t>
            </w:r>
          </w:p>
        </w:tc>
        <w:tc>
          <w:tcPr>
            <w:tcW w:w="1271" w:type="dxa"/>
            <w:shd w:val="clear" w:color="auto" w:fill="D9E2F3"/>
            <w:vAlign w:val="center"/>
          </w:tcPr>
          <w:p w14:paraId="3E5018F0" w14:textId="77777777" w:rsidR="00935242" w:rsidRPr="00AA745A" w:rsidRDefault="00935242" w:rsidP="009A32A4">
            <w:pPr>
              <w:keepNext/>
              <w:keepLines/>
              <w:jc w:val="center"/>
              <w:rPr>
                <w:rFonts w:ascii="Arial" w:hAnsi="Arial" w:cs="Arial"/>
                <w:b/>
                <w:sz w:val="20"/>
                <w:szCs w:val="20"/>
              </w:rPr>
            </w:pPr>
            <w:r w:rsidRPr="00AA745A">
              <w:rPr>
                <w:rFonts w:ascii="Arial" w:hAnsi="Arial" w:cs="Arial"/>
                <w:b/>
                <w:sz w:val="20"/>
                <w:szCs w:val="20"/>
              </w:rPr>
              <w:t>MAPE</w:t>
            </w:r>
          </w:p>
        </w:tc>
      </w:tr>
      <w:tr w:rsidR="00935242" w14:paraId="6EF5CE58" w14:textId="77777777" w:rsidTr="00935242">
        <w:trPr>
          <w:jc w:val="center"/>
        </w:trPr>
        <w:tc>
          <w:tcPr>
            <w:tcW w:w="1260" w:type="dxa"/>
            <w:shd w:val="clear" w:color="auto" w:fill="auto"/>
            <w:vAlign w:val="center"/>
          </w:tcPr>
          <w:p w14:paraId="30930CEA" w14:textId="518A1AC0" w:rsidR="00935242" w:rsidRPr="00AA745A" w:rsidRDefault="00935242" w:rsidP="009A32A4">
            <w:pPr>
              <w:keepNext/>
              <w:keepLines/>
              <w:jc w:val="center"/>
              <w:rPr>
                <w:rFonts w:ascii="Arial" w:hAnsi="Arial" w:cs="Arial"/>
                <w:sz w:val="20"/>
                <w:szCs w:val="20"/>
              </w:rPr>
            </w:pPr>
            <w:r>
              <w:rPr>
                <w:rFonts w:ascii="Arial" w:hAnsi="Arial" w:cs="Arial"/>
                <w:sz w:val="20"/>
                <w:szCs w:val="20"/>
              </w:rPr>
              <w:t>PG&amp;E</w:t>
            </w:r>
          </w:p>
        </w:tc>
        <w:tc>
          <w:tcPr>
            <w:tcW w:w="1523" w:type="dxa"/>
          </w:tcPr>
          <w:p w14:paraId="59E128CC" w14:textId="53C4DEE4" w:rsidR="00935242" w:rsidRDefault="00935242" w:rsidP="009E692D">
            <w:pPr>
              <w:keepNext/>
              <w:keepLines/>
              <w:jc w:val="center"/>
              <w:rPr>
                <w:rFonts w:ascii="Arial" w:hAnsi="Arial" w:cs="Arial"/>
                <w:sz w:val="20"/>
                <w:szCs w:val="20"/>
              </w:rPr>
            </w:pPr>
            <w:r>
              <w:rPr>
                <w:rFonts w:ascii="Arial" w:hAnsi="Arial" w:cs="Arial"/>
                <w:sz w:val="20"/>
                <w:szCs w:val="20"/>
              </w:rPr>
              <w:t>Summer</w:t>
            </w:r>
          </w:p>
        </w:tc>
        <w:tc>
          <w:tcPr>
            <w:tcW w:w="1461" w:type="dxa"/>
            <w:vAlign w:val="center"/>
          </w:tcPr>
          <w:p w14:paraId="14634893" w14:textId="282977AE" w:rsidR="00935242" w:rsidRPr="00AA745A" w:rsidRDefault="00935242" w:rsidP="009E692D">
            <w:pPr>
              <w:keepNext/>
              <w:keepLines/>
              <w:jc w:val="center"/>
              <w:rPr>
                <w:rFonts w:ascii="Arial" w:hAnsi="Arial" w:cs="Arial"/>
                <w:sz w:val="20"/>
                <w:szCs w:val="20"/>
              </w:rPr>
            </w:pPr>
            <w:r>
              <w:rPr>
                <w:rFonts w:ascii="Arial" w:hAnsi="Arial" w:cs="Arial"/>
                <w:sz w:val="20"/>
                <w:szCs w:val="20"/>
              </w:rPr>
              <w:t>9</w:t>
            </w:r>
          </w:p>
        </w:tc>
        <w:tc>
          <w:tcPr>
            <w:tcW w:w="1396" w:type="dxa"/>
            <w:shd w:val="clear" w:color="auto" w:fill="auto"/>
            <w:vAlign w:val="center"/>
          </w:tcPr>
          <w:p w14:paraId="3FE3E188" w14:textId="64E7E8C9" w:rsidR="00935242" w:rsidRPr="00AA745A" w:rsidRDefault="00935242" w:rsidP="009E692D">
            <w:pPr>
              <w:keepNext/>
              <w:keepLines/>
              <w:jc w:val="center"/>
              <w:rPr>
                <w:rFonts w:ascii="Arial" w:hAnsi="Arial" w:cs="Arial"/>
                <w:sz w:val="20"/>
                <w:szCs w:val="20"/>
              </w:rPr>
            </w:pPr>
            <w:r>
              <w:rPr>
                <w:rFonts w:ascii="Arial" w:hAnsi="Arial" w:cs="Arial"/>
                <w:sz w:val="20"/>
                <w:szCs w:val="20"/>
              </w:rPr>
              <w:t>0.89</w:t>
            </w:r>
          </w:p>
        </w:tc>
        <w:tc>
          <w:tcPr>
            <w:tcW w:w="1387" w:type="dxa"/>
            <w:shd w:val="clear" w:color="auto" w:fill="auto"/>
            <w:vAlign w:val="center"/>
          </w:tcPr>
          <w:p w14:paraId="244FE5BD" w14:textId="3F5E122F" w:rsidR="00935242" w:rsidRPr="00AA745A" w:rsidRDefault="00935242" w:rsidP="00935242">
            <w:pPr>
              <w:keepNext/>
              <w:keepLines/>
              <w:jc w:val="center"/>
              <w:rPr>
                <w:rFonts w:ascii="Arial" w:hAnsi="Arial" w:cs="Arial"/>
                <w:sz w:val="20"/>
                <w:szCs w:val="20"/>
              </w:rPr>
            </w:pPr>
            <w:r>
              <w:rPr>
                <w:rFonts w:ascii="Arial" w:hAnsi="Arial" w:cs="Arial"/>
                <w:sz w:val="20"/>
                <w:szCs w:val="20"/>
              </w:rPr>
              <w:t>0.8%</w:t>
            </w:r>
          </w:p>
        </w:tc>
        <w:tc>
          <w:tcPr>
            <w:tcW w:w="1271" w:type="dxa"/>
            <w:shd w:val="clear" w:color="auto" w:fill="auto"/>
            <w:vAlign w:val="center"/>
          </w:tcPr>
          <w:p w14:paraId="282D5A81" w14:textId="020AE863" w:rsidR="00935242" w:rsidRPr="00AA745A" w:rsidRDefault="00935242" w:rsidP="00935242">
            <w:pPr>
              <w:keepNext/>
              <w:keepLines/>
              <w:jc w:val="center"/>
              <w:rPr>
                <w:rFonts w:ascii="Arial" w:hAnsi="Arial" w:cs="Arial"/>
                <w:sz w:val="20"/>
                <w:szCs w:val="20"/>
              </w:rPr>
            </w:pPr>
            <w:r>
              <w:rPr>
                <w:rFonts w:ascii="Arial" w:hAnsi="Arial" w:cs="Arial"/>
                <w:sz w:val="20"/>
                <w:szCs w:val="20"/>
              </w:rPr>
              <w:t>1.8%</w:t>
            </w:r>
          </w:p>
        </w:tc>
      </w:tr>
      <w:tr w:rsidR="00935242" w14:paraId="31B12B5A" w14:textId="77777777" w:rsidTr="00935242">
        <w:trPr>
          <w:jc w:val="center"/>
        </w:trPr>
        <w:tc>
          <w:tcPr>
            <w:tcW w:w="1260" w:type="dxa"/>
            <w:shd w:val="clear" w:color="auto" w:fill="auto"/>
            <w:vAlign w:val="center"/>
          </w:tcPr>
          <w:p w14:paraId="66F9EABF" w14:textId="3A3123DF" w:rsidR="00935242" w:rsidRPr="00AA745A" w:rsidRDefault="00935242" w:rsidP="00935242">
            <w:pPr>
              <w:keepNext/>
              <w:keepLines/>
              <w:jc w:val="center"/>
              <w:rPr>
                <w:rFonts w:ascii="Arial" w:hAnsi="Arial" w:cs="Arial"/>
                <w:sz w:val="20"/>
                <w:szCs w:val="20"/>
              </w:rPr>
            </w:pPr>
            <w:r>
              <w:rPr>
                <w:rFonts w:ascii="Arial" w:hAnsi="Arial" w:cs="Arial"/>
                <w:sz w:val="20"/>
                <w:szCs w:val="20"/>
              </w:rPr>
              <w:t>PG&amp;E</w:t>
            </w:r>
          </w:p>
        </w:tc>
        <w:tc>
          <w:tcPr>
            <w:tcW w:w="1523" w:type="dxa"/>
          </w:tcPr>
          <w:p w14:paraId="13A1BAFE" w14:textId="42A7AB1E" w:rsidR="00935242" w:rsidRDefault="00935242" w:rsidP="009A32A4">
            <w:pPr>
              <w:keepNext/>
              <w:keepLines/>
              <w:jc w:val="center"/>
              <w:rPr>
                <w:rFonts w:ascii="Arial" w:hAnsi="Arial" w:cs="Arial"/>
                <w:sz w:val="20"/>
                <w:szCs w:val="20"/>
              </w:rPr>
            </w:pPr>
            <w:r>
              <w:rPr>
                <w:rFonts w:ascii="Arial" w:hAnsi="Arial" w:cs="Arial"/>
                <w:sz w:val="20"/>
                <w:szCs w:val="20"/>
              </w:rPr>
              <w:t>Non-Summer</w:t>
            </w:r>
          </w:p>
        </w:tc>
        <w:tc>
          <w:tcPr>
            <w:tcW w:w="1461" w:type="dxa"/>
            <w:vAlign w:val="center"/>
          </w:tcPr>
          <w:p w14:paraId="1CAF8711" w14:textId="2DE70B1A" w:rsidR="00935242" w:rsidRPr="00AA745A" w:rsidRDefault="00935242" w:rsidP="009A32A4">
            <w:pPr>
              <w:keepNext/>
              <w:keepLines/>
              <w:jc w:val="center"/>
              <w:rPr>
                <w:rFonts w:ascii="Arial" w:hAnsi="Arial" w:cs="Arial"/>
                <w:sz w:val="20"/>
                <w:szCs w:val="20"/>
              </w:rPr>
            </w:pPr>
            <w:r>
              <w:rPr>
                <w:rFonts w:ascii="Arial" w:hAnsi="Arial" w:cs="Arial"/>
                <w:sz w:val="20"/>
                <w:szCs w:val="20"/>
              </w:rPr>
              <w:t>5</w:t>
            </w:r>
          </w:p>
        </w:tc>
        <w:tc>
          <w:tcPr>
            <w:tcW w:w="1396" w:type="dxa"/>
            <w:shd w:val="clear" w:color="auto" w:fill="auto"/>
            <w:vAlign w:val="center"/>
          </w:tcPr>
          <w:p w14:paraId="14DD5D50" w14:textId="6FB651A8" w:rsidR="00935242" w:rsidRPr="00AA745A" w:rsidRDefault="00935242" w:rsidP="009A32A4">
            <w:pPr>
              <w:keepNext/>
              <w:keepLines/>
              <w:jc w:val="center"/>
              <w:rPr>
                <w:rFonts w:ascii="Arial" w:hAnsi="Arial" w:cs="Arial"/>
                <w:sz w:val="20"/>
                <w:szCs w:val="20"/>
              </w:rPr>
            </w:pPr>
            <w:r>
              <w:rPr>
                <w:rFonts w:ascii="Arial" w:hAnsi="Arial" w:cs="Arial"/>
                <w:sz w:val="20"/>
                <w:szCs w:val="20"/>
              </w:rPr>
              <w:t>0.87</w:t>
            </w:r>
          </w:p>
        </w:tc>
        <w:tc>
          <w:tcPr>
            <w:tcW w:w="1387" w:type="dxa"/>
            <w:shd w:val="clear" w:color="auto" w:fill="auto"/>
            <w:vAlign w:val="center"/>
          </w:tcPr>
          <w:p w14:paraId="0B517A24" w14:textId="40679B0F" w:rsidR="00935242" w:rsidRPr="00AA745A" w:rsidRDefault="00935242" w:rsidP="009E692D">
            <w:pPr>
              <w:keepNext/>
              <w:keepLines/>
              <w:jc w:val="center"/>
              <w:rPr>
                <w:rFonts w:ascii="Arial" w:hAnsi="Arial" w:cs="Arial"/>
                <w:sz w:val="20"/>
                <w:szCs w:val="20"/>
              </w:rPr>
            </w:pPr>
            <w:r>
              <w:rPr>
                <w:rFonts w:ascii="Arial" w:hAnsi="Arial" w:cs="Arial"/>
                <w:sz w:val="20"/>
                <w:szCs w:val="20"/>
              </w:rPr>
              <w:t>-0.7%</w:t>
            </w:r>
          </w:p>
        </w:tc>
        <w:tc>
          <w:tcPr>
            <w:tcW w:w="1271" w:type="dxa"/>
            <w:shd w:val="clear" w:color="auto" w:fill="auto"/>
            <w:vAlign w:val="center"/>
          </w:tcPr>
          <w:p w14:paraId="4FC773C5" w14:textId="61B46032" w:rsidR="00935242" w:rsidRPr="00AA745A" w:rsidRDefault="00935242" w:rsidP="009E692D">
            <w:pPr>
              <w:keepNext/>
              <w:keepLines/>
              <w:jc w:val="center"/>
              <w:rPr>
                <w:rFonts w:ascii="Arial" w:hAnsi="Arial" w:cs="Arial"/>
                <w:sz w:val="20"/>
                <w:szCs w:val="20"/>
              </w:rPr>
            </w:pPr>
            <w:r>
              <w:rPr>
                <w:rFonts w:ascii="Arial" w:hAnsi="Arial" w:cs="Arial"/>
                <w:sz w:val="20"/>
                <w:szCs w:val="20"/>
              </w:rPr>
              <w:t>2.7%</w:t>
            </w:r>
          </w:p>
        </w:tc>
      </w:tr>
      <w:tr w:rsidR="00935242" w14:paraId="080222E1" w14:textId="77777777" w:rsidTr="00935242">
        <w:trPr>
          <w:jc w:val="center"/>
        </w:trPr>
        <w:tc>
          <w:tcPr>
            <w:tcW w:w="1260" w:type="dxa"/>
            <w:shd w:val="clear" w:color="auto" w:fill="auto"/>
            <w:vAlign w:val="center"/>
          </w:tcPr>
          <w:p w14:paraId="74D8ECEA" w14:textId="6E1DC4C0" w:rsidR="00935242" w:rsidRPr="009E692D" w:rsidRDefault="00935242" w:rsidP="00935242">
            <w:pPr>
              <w:keepNext/>
              <w:keepLines/>
              <w:jc w:val="center"/>
              <w:rPr>
                <w:rFonts w:ascii="Arial" w:hAnsi="Arial" w:cs="Arial"/>
                <w:sz w:val="20"/>
                <w:szCs w:val="20"/>
                <w:highlight w:val="yellow"/>
              </w:rPr>
            </w:pPr>
            <w:r w:rsidRPr="00935242">
              <w:rPr>
                <w:rFonts w:ascii="Arial" w:hAnsi="Arial" w:cs="Arial"/>
                <w:sz w:val="20"/>
                <w:szCs w:val="20"/>
              </w:rPr>
              <w:t>SCE</w:t>
            </w:r>
          </w:p>
        </w:tc>
        <w:tc>
          <w:tcPr>
            <w:tcW w:w="1523" w:type="dxa"/>
          </w:tcPr>
          <w:p w14:paraId="1AABA601" w14:textId="355C7305" w:rsidR="00935242" w:rsidRPr="00935242" w:rsidRDefault="00935242" w:rsidP="009A32A4">
            <w:pPr>
              <w:keepNext/>
              <w:keepLines/>
              <w:jc w:val="center"/>
              <w:rPr>
                <w:rFonts w:ascii="Arial" w:hAnsi="Arial" w:cs="Arial"/>
                <w:sz w:val="20"/>
                <w:szCs w:val="20"/>
              </w:rPr>
            </w:pPr>
            <w:r w:rsidRPr="00935242">
              <w:rPr>
                <w:rFonts w:ascii="Arial" w:hAnsi="Arial" w:cs="Arial"/>
                <w:sz w:val="20"/>
                <w:szCs w:val="20"/>
              </w:rPr>
              <w:t>Non-Summer</w:t>
            </w:r>
          </w:p>
        </w:tc>
        <w:tc>
          <w:tcPr>
            <w:tcW w:w="1461" w:type="dxa"/>
            <w:vAlign w:val="center"/>
          </w:tcPr>
          <w:p w14:paraId="4105C950" w14:textId="71670CA7" w:rsidR="00935242" w:rsidRPr="00935242" w:rsidRDefault="00935242" w:rsidP="009A32A4">
            <w:pPr>
              <w:keepNext/>
              <w:keepLines/>
              <w:jc w:val="center"/>
              <w:rPr>
                <w:rFonts w:ascii="Arial" w:hAnsi="Arial" w:cs="Arial"/>
                <w:sz w:val="20"/>
                <w:szCs w:val="20"/>
              </w:rPr>
            </w:pPr>
            <w:r>
              <w:rPr>
                <w:rFonts w:ascii="Arial" w:hAnsi="Arial" w:cs="Arial"/>
                <w:sz w:val="20"/>
                <w:szCs w:val="20"/>
              </w:rPr>
              <w:t>5</w:t>
            </w:r>
          </w:p>
        </w:tc>
        <w:tc>
          <w:tcPr>
            <w:tcW w:w="1396" w:type="dxa"/>
            <w:shd w:val="clear" w:color="auto" w:fill="auto"/>
            <w:vAlign w:val="center"/>
          </w:tcPr>
          <w:p w14:paraId="1608E917" w14:textId="28A488D5" w:rsidR="00935242" w:rsidRPr="00935242" w:rsidRDefault="00785E81" w:rsidP="009A32A4">
            <w:pPr>
              <w:keepNext/>
              <w:keepLines/>
              <w:jc w:val="center"/>
              <w:rPr>
                <w:rFonts w:ascii="Arial" w:hAnsi="Arial" w:cs="Arial"/>
                <w:sz w:val="20"/>
                <w:szCs w:val="20"/>
              </w:rPr>
            </w:pPr>
            <w:r>
              <w:rPr>
                <w:rFonts w:ascii="Arial" w:hAnsi="Arial" w:cs="Arial"/>
                <w:sz w:val="20"/>
                <w:szCs w:val="20"/>
              </w:rPr>
              <w:t>0.87</w:t>
            </w:r>
          </w:p>
        </w:tc>
        <w:tc>
          <w:tcPr>
            <w:tcW w:w="1387" w:type="dxa"/>
            <w:shd w:val="clear" w:color="auto" w:fill="auto"/>
            <w:vAlign w:val="center"/>
          </w:tcPr>
          <w:p w14:paraId="6EE2E7D3" w14:textId="653EA69D" w:rsidR="00935242" w:rsidRPr="00935242" w:rsidRDefault="00785E81" w:rsidP="00785E81">
            <w:pPr>
              <w:keepNext/>
              <w:keepLines/>
              <w:jc w:val="center"/>
              <w:rPr>
                <w:rFonts w:ascii="Arial" w:hAnsi="Arial" w:cs="Arial"/>
                <w:sz w:val="20"/>
                <w:szCs w:val="20"/>
              </w:rPr>
            </w:pPr>
            <w:r>
              <w:rPr>
                <w:rFonts w:ascii="Arial" w:hAnsi="Arial" w:cs="Arial"/>
                <w:sz w:val="20"/>
                <w:szCs w:val="20"/>
              </w:rPr>
              <w:t>1</w:t>
            </w:r>
            <w:r w:rsidR="002607FF">
              <w:rPr>
                <w:rFonts w:ascii="Arial" w:hAnsi="Arial" w:cs="Arial"/>
                <w:sz w:val="20"/>
                <w:szCs w:val="20"/>
              </w:rPr>
              <w:t>.</w:t>
            </w:r>
            <w:r>
              <w:rPr>
                <w:rFonts w:ascii="Arial" w:hAnsi="Arial" w:cs="Arial"/>
                <w:sz w:val="20"/>
                <w:szCs w:val="20"/>
              </w:rPr>
              <w:t>7</w:t>
            </w:r>
            <w:r w:rsidR="00935242">
              <w:rPr>
                <w:rFonts w:ascii="Arial" w:hAnsi="Arial" w:cs="Arial"/>
                <w:sz w:val="20"/>
                <w:szCs w:val="20"/>
              </w:rPr>
              <w:t>%</w:t>
            </w:r>
          </w:p>
        </w:tc>
        <w:tc>
          <w:tcPr>
            <w:tcW w:w="1271" w:type="dxa"/>
            <w:shd w:val="clear" w:color="auto" w:fill="auto"/>
            <w:vAlign w:val="center"/>
          </w:tcPr>
          <w:p w14:paraId="11E48D01" w14:textId="69AB476F" w:rsidR="00935242" w:rsidRPr="00935242" w:rsidRDefault="00785E81" w:rsidP="00785E81">
            <w:pPr>
              <w:keepNext/>
              <w:keepLines/>
              <w:jc w:val="center"/>
              <w:rPr>
                <w:rFonts w:ascii="Arial" w:hAnsi="Arial" w:cs="Arial"/>
                <w:sz w:val="20"/>
                <w:szCs w:val="20"/>
              </w:rPr>
            </w:pPr>
            <w:r>
              <w:rPr>
                <w:rFonts w:ascii="Arial" w:hAnsi="Arial" w:cs="Arial"/>
                <w:sz w:val="20"/>
                <w:szCs w:val="20"/>
              </w:rPr>
              <w:t>3</w:t>
            </w:r>
            <w:r w:rsidR="00935242">
              <w:rPr>
                <w:rFonts w:ascii="Arial" w:hAnsi="Arial" w:cs="Arial"/>
                <w:sz w:val="20"/>
                <w:szCs w:val="20"/>
              </w:rPr>
              <w:t>.</w:t>
            </w:r>
            <w:r>
              <w:rPr>
                <w:rFonts w:ascii="Arial" w:hAnsi="Arial" w:cs="Arial"/>
                <w:sz w:val="20"/>
                <w:szCs w:val="20"/>
              </w:rPr>
              <w:t>0</w:t>
            </w:r>
            <w:r w:rsidR="00935242">
              <w:rPr>
                <w:rFonts w:ascii="Arial" w:hAnsi="Arial" w:cs="Arial"/>
                <w:sz w:val="20"/>
                <w:szCs w:val="20"/>
              </w:rPr>
              <w:t>%</w:t>
            </w:r>
          </w:p>
        </w:tc>
      </w:tr>
      <w:tr w:rsidR="00935242" w14:paraId="2464103E" w14:textId="77777777" w:rsidTr="00935242">
        <w:trPr>
          <w:jc w:val="center"/>
        </w:trPr>
        <w:tc>
          <w:tcPr>
            <w:tcW w:w="1260" w:type="dxa"/>
            <w:shd w:val="clear" w:color="auto" w:fill="auto"/>
            <w:vAlign w:val="center"/>
          </w:tcPr>
          <w:p w14:paraId="5500B81A" w14:textId="002295AF" w:rsidR="00935242" w:rsidRPr="009E692D" w:rsidRDefault="00935242" w:rsidP="00935242">
            <w:pPr>
              <w:keepNext/>
              <w:keepLines/>
              <w:jc w:val="center"/>
              <w:rPr>
                <w:rFonts w:ascii="Arial" w:hAnsi="Arial" w:cs="Arial"/>
                <w:sz w:val="20"/>
                <w:szCs w:val="20"/>
                <w:highlight w:val="yellow"/>
              </w:rPr>
            </w:pPr>
            <w:r>
              <w:rPr>
                <w:rFonts w:ascii="Arial" w:hAnsi="Arial" w:cs="Arial"/>
                <w:sz w:val="20"/>
                <w:szCs w:val="20"/>
              </w:rPr>
              <w:t>SDG&amp;E</w:t>
            </w:r>
          </w:p>
        </w:tc>
        <w:tc>
          <w:tcPr>
            <w:tcW w:w="1523" w:type="dxa"/>
          </w:tcPr>
          <w:p w14:paraId="5CEB030F" w14:textId="36B5477B" w:rsidR="00935242" w:rsidRPr="00935242" w:rsidRDefault="00935242" w:rsidP="009A32A4">
            <w:pPr>
              <w:keepNext/>
              <w:keepLines/>
              <w:jc w:val="center"/>
              <w:rPr>
                <w:rFonts w:ascii="Arial" w:hAnsi="Arial" w:cs="Arial"/>
                <w:sz w:val="20"/>
                <w:szCs w:val="20"/>
              </w:rPr>
            </w:pPr>
            <w:r w:rsidRPr="00935242">
              <w:rPr>
                <w:rFonts w:ascii="Arial" w:hAnsi="Arial" w:cs="Arial"/>
                <w:sz w:val="20"/>
                <w:szCs w:val="20"/>
              </w:rPr>
              <w:t>Summer</w:t>
            </w:r>
          </w:p>
        </w:tc>
        <w:tc>
          <w:tcPr>
            <w:tcW w:w="1461" w:type="dxa"/>
            <w:vAlign w:val="center"/>
          </w:tcPr>
          <w:p w14:paraId="17A3974A" w14:textId="6C9786FD" w:rsidR="00935242" w:rsidRPr="00935242" w:rsidRDefault="009D76A5" w:rsidP="009A32A4">
            <w:pPr>
              <w:keepNext/>
              <w:keepLines/>
              <w:jc w:val="center"/>
              <w:rPr>
                <w:rFonts w:ascii="Arial" w:hAnsi="Arial" w:cs="Arial"/>
                <w:sz w:val="20"/>
                <w:szCs w:val="20"/>
              </w:rPr>
            </w:pPr>
            <w:r>
              <w:rPr>
                <w:rFonts w:ascii="Arial" w:hAnsi="Arial" w:cs="Arial"/>
                <w:sz w:val="20"/>
                <w:szCs w:val="20"/>
              </w:rPr>
              <w:t>9</w:t>
            </w:r>
          </w:p>
        </w:tc>
        <w:tc>
          <w:tcPr>
            <w:tcW w:w="1396" w:type="dxa"/>
            <w:shd w:val="clear" w:color="auto" w:fill="auto"/>
            <w:vAlign w:val="center"/>
          </w:tcPr>
          <w:p w14:paraId="79EF9D30" w14:textId="0C228708" w:rsidR="00935242" w:rsidRPr="00935242" w:rsidRDefault="009D76A5" w:rsidP="009A32A4">
            <w:pPr>
              <w:keepNext/>
              <w:keepLines/>
              <w:jc w:val="center"/>
              <w:rPr>
                <w:rFonts w:ascii="Arial" w:hAnsi="Arial" w:cs="Arial"/>
                <w:sz w:val="20"/>
                <w:szCs w:val="20"/>
              </w:rPr>
            </w:pPr>
            <w:r>
              <w:rPr>
                <w:rFonts w:ascii="Arial" w:hAnsi="Arial" w:cs="Arial"/>
                <w:sz w:val="20"/>
                <w:szCs w:val="20"/>
              </w:rPr>
              <w:t>0.92</w:t>
            </w:r>
          </w:p>
        </w:tc>
        <w:tc>
          <w:tcPr>
            <w:tcW w:w="1387" w:type="dxa"/>
            <w:shd w:val="clear" w:color="auto" w:fill="auto"/>
            <w:vAlign w:val="center"/>
          </w:tcPr>
          <w:p w14:paraId="786E3A30" w14:textId="23A2FFC5" w:rsidR="00935242" w:rsidRPr="00935242" w:rsidRDefault="009D76A5" w:rsidP="009A32A4">
            <w:pPr>
              <w:keepNext/>
              <w:keepLines/>
              <w:jc w:val="center"/>
              <w:rPr>
                <w:rFonts w:ascii="Arial" w:hAnsi="Arial" w:cs="Arial"/>
                <w:sz w:val="20"/>
                <w:szCs w:val="20"/>
              </w:rPr>
            </w:pPr>
            <w:r>
              <w:rPr>
                <w:rFonts w:ascii="Arial" w:hAnsi="Arial" w:cs="Arial"/>
                <w:sz w:val="20"/>
                <w:szCs w:val="20"/>
              </w:rPr>
              <w:t>0.1%</w:t>
            </w:r>
          </w:p>
        </w:tc>
        <w:tc>
          <w:tcPr>
            <w:tcW w:w="1271" w:type="dxa"/>
            <w:shd w:val="clear" w:color="auto" w:fill="auto"/>
            <w:vAlign w:val="center"/>
          </w:tcPr>
          <w:p w14:paraId="37BB381A" w14:textId="3F3AF571" w:rsidR="00935242" w:rsidRPr="00935242" w:rsidRDefault="009D76A5" w:rsidP="009A32A4">
            <w:pPr>
              <w:keepNext/>
              <w:keepLines/>
              <w:jc w:val="center"/>
              <w:rPr>
                <w:rFonts w:ascii="Arial" w:hAnsi="Arial" w:cs="Arial"/>
                <w:sz w:val="20"/>
                <w:szCs w:val="20"/>
              </w:rPr>
            </w:pPr>
            <w:r>
              <w:rPr>
                <w:rFonts w:ascii="Arial" w:hAnsi="Arial" w:cs="Arial"/>
                <w:sz w:val="20"/>
                <w:szCs w:val="20"/>
              </w:rPr>
              <w:t>12.2%</w:t>
            </w:r>
          </w:p>
        </w:tc>
      </w:tr>
      <w:tr w:rsidR="00935242" w14:paraId="3587F355" w14:textId="77777777" w:rsidTr="00935242">
        <w:trPr>
          <w:jc w:val="center"/>
        </w:trPr>
        <w:tc>
          <w:tcPr>
            <w:tcW w:w="1260" w:type="dxa"/>
            <w:shd w:val="clear" w:color="auto" w:fill="auto"/>
            <w:vAlign w:val="center"/>
          </w:tcPr>
          <w:p w14:paraId="7A3312B9" w14:textId="79C185CA" w:rsidR="00935242" w:rsidRPr="00935242" w:rsidRDefault="00935242" w:rsidP="00935242">
            <w:pPr>
              <w:keepNext/>
              <w:keepLines/>
              <w:jc w:val="center"/>
              <w:rPr>
                <w:rFonts w:ascii="Arial" w:hAnsi="Arial" w:cs="Arial"/>
                <w:sz w:val="20"/>
                <w:szCs w:val="20"/>
              </w:rPr>
            </w:pPr>
            <w:r>
              <w:rPr>
                <w:rFonts w:ascii="Arial" w:hAnsi="Arial" w:cs="Arial"/>
                <w:sz w:val="20"/>
                <w:szCs w:val="20"/>
              </w:rPr>
              <w:t>SDG&amp;E</w:t>
            </w:r>
          </w:p>
        </w:tc>
        <w:tc>
          <w:tcPr>
            <w:tcW w:w="1523" w:type="dxa"/>
          </w:tcPr>
          <w:p w14:paraId="6195E694" w14:textId="63840A28" w:rsidR="00935242" w:rsidRPr="00935242" w:rsidRDefault="00935242" w:rsidP="009A32A4">
            <w:pPr>
              <w:keepNext/>
              <w:keepLines/>
              <w:jc w:val="center"/>
              <w:rPr>
                <w:rFonts w:ascii="Arial" w:hAnsi="Arial" w:cs="Arial"/>
                <w:sz w:val="20"/>
                <w:szCs w:val="20"/>
              </w:rPr>
            </w:pPr>
            <w:r w:rsidRPr="00935242">
              <w:rPr>
                <w:rFonts w:ascii="Arial" w:hAnsi="Arial" w:cs="Arial"/>
                <w:sz w:val="20"/>
                <w:szCs w:val="20"/>
              </w:rPr>
              <w:t>Non-Summer</w:t>
            </w:r>
          </w:p>
        </w:tc>
        <w:tc>
          <w:tcPr>
            <w:tcW w:w="1461" w:type="dxa"/>
            <w:vAlign w:val="center"/>
          </w:tcPr>
          <w:p w14:paraId="14624D4E" w14:textId="53E6D7D3" w:rsidR="00935242" w:rsidRPr="00935242" w:rsidRDefault="009D76A5" w:rsidP="009A32A4">
            <w:pPr>
              <w:keepNext/>
              <w:keepLines/>
              <w:jc w:val="center"/>
              <w:rPr>
                <w:rFonts w:ascii="Arial" w:hAnsi="Arial" w:cs="Arial"/>
                <w:sz w:val="20"/>
                <w:szCs w:val="20"/>
              </w:rPr>
            </w:pPr>
            <w:r>
              <w:rPr>
                <w:rFonts w:ascii="Arial" w:hAnsi="Arial" w:cs="Arial"/>
                <w:sz w:val="20"/>
                <w:szCs w:val="20"/>
              </w:rPr>
              <w:t>6</w:t>
            </w:r>
          </w:p>
        </w:tc>
        <w:tc>
          <w:tcPr>
            <w:tcW w:w="1396" w:type="dxa"/>
            <w:shd w:val="clear" w:color="auto" w:fill="auto"/>
            <w:vAlign w:val="center"/>
          </w:tcPr>
          <w:p w14:paraId="1A3C53D3" w14:textId="59F2A972" w:rsidR="00935242" w:rsidRPr="00935242" w:rsidRDefault="009D76A5" w:rsidP="009A32A4">
            <w:pPr>
              <w:keepNext/>
              <w:keepLines/>
              <w:jc w:val="center"/>
              <w:rPr>
                <w:rFonts w:ascii="Arial" w:hAnsi="Arial" w:cs="Arial"/>
                <w:sz w:val="20"/>
                <w:szCs w:val="20"/>
              </w:rPr>
            </w:pPr>
            <w:r>
              <w:rPr>
                <w:rFonts w:ascii="Arial" w:hAnsi="Arial" w:cs="Arial"/>
                <w:sz w:val="20"/>
                <w:szCs w:val="20"/>
              </w:rPr>
              <w:t>0.94</w:t>
            </w:r>
          </w:p>
        </w:tc>
        <w:tc>
          <w:tcPr>
            <w:tcW w:w="1387" w:type="dxa"/>
            <w:shd w:val="clear" w:color="auto" w:fill="auto"/>
            <w:vAlign w:val="center"/>
          </w:tcPr>
          <w:p w14:paraId="176878C2" w14:textId="4D5B548D" w:rsidR="00935242" w:rsidRPr="00935242" w:rsidRDefault="009D76A5" w:rsidP="009A32A4">
            <w:pPr>
              <w:keepNext/>
              <w:keepLines/>
              <w:jc w:val="center"/>
              <w:rPr>
                <w:rFonts w:ascii="Arial" w:hAnsi="Arial" w:cs="Arial"/>
                <w:sz w:val="20"/>
                <w:szCs w:val="20"/>
              </w:rPr>
            </w:pPr>
            <w:r>
              <w:rPr>
                <w:rFonts w:ascii="Arial" w:hAnsi="Arial" w:cs="Arial"/>
                <w:sz w:val="20"/>
                <w:szCs w:val="20"/>
              </w:rPr>
              <w:t>3.7%</w:t>
            </w:r>
          </w:p>
        </w:tc>
        <w:tc>
          <w:tcPr>
            <w:tcW w:w="1271" w:type="dxa"/>
            <w:shd w:val="clear" w:color="auto" w:fill="auto"/>
            <w:vAlign w:val="center"/>
          </w:tcPr>
          <w:p w14:paraId="1DED594F" w14:textId="43C792C5" w:rsidR="00935242" w:rsidRPr="00935242" w:rsidRDefault="009D76A5" w:rsidP="009A32A4">
            <w:pPr>
              <w:keepNext/>
              <w:keepLines/>
              <w:jc w:val="center"/>
              <w:rPr>
                <w:rFonts w:ascii="Arial" w:hAnsi="Arial" w:cs="Arial"/>
                <w:sz w:val="20"/>
                <w:szCs w:val="20"/>
              </w:rPr>
            </w:pPr>
            <w:r>
              <w:rPr>
                <w:rFonts w:ascii="Arial" w:hAnsi="Arial" w:cs="Arial"/>
                <w:sz w:val="20"/>
                <w:szCs w:val="20"/>
              </w:rPr>
              <w:t>17.4%</w:t>
            </w:r>
          </w:p>
        </w:tc>
      </w:tr>
    </w:tbl>
    <w:p w14:paraId="2DCFE959" w14:textId="77777777" w:rsidR="007772B0" w:rsidRDefault="007772B0" w:rsidP="007772B0"/>
    <w:p w14:paraId="1C37D878" w14:textId="69CD3ED0" w:rsidR="007772B0" w:rsidRDefault="007772B0" w:rsidP="007772B0">
      <w:r>
        <w:t>For each specification, we estimated a single model that included all of the days (i.e., not withholding any event-like days), but using a single set of actual event variables (i.e., a 24-hour profile of the average event-day load i</w:t>
      </w:r>
      <w:r w:rsidR="00B27B54">
        <w:t>mpacts). Figures A.1 through A.5</w:t>
      </w:r>
      <w:r>
        <w:t xml:space="preserve"> show the estimated hourly load impacts for each of the models by utility/</w:t>
      </w:r>
      <w:r w:rsidR="00B27B54">
        <w:t>season</w:t>
      </w:r>
      <w:r>
        <w:t xml:space="preserve">. The load impacts for the selected specification are highlighted in bold in each of the figures. </w:t>
      </w:r>
      <w:r w:rsidRPr="006821A7">
        <w:t>With the possible exce</w:t>
      </w:r>
      <w:r w:rsidR="00455563" w:rsidRPr="006821A7">
        <w:t xml:space="preserve">ption of SDG&amp;E </w:t>
      </w:r>
      <w:r w:rsidRPr="006821A7">
        <w:t>(shown in Figure</w:t>
      </w:r>
      <w:r w:rsidR="00455563" w:rsidRPr="006821A7">
        <w:t>s</w:t>
      </w:r>
      <w:r w:rsidRPr="006821A7">
        <w:t xml:space="preserve"> A.4</w:t>
      </w:r>
      <w:r w:rsidR="00455563" w:rsidRPr="006821A7">
        <w:t xml:space="preserve"> and A.5</w:t>
      </w:r>
      <w:r w:rsidRPr="006821A7">
        <w:t>), the results of these tests indicated that very little is at stake when selecting from the specifications, as the load impact profile was quite stable across them.</w:t>
      </w:r>
    </w:p>
    <w:p w14:paraId="257844F8" w14:textId="77777777" w:rsidR="007772B0" w:rsidRDefault="007772B0" w:rsidP="007772B0"/>
    <w:p w14:paraId="11FA9B9D" w14:textId="7EB47657" w:rsidR="007772B0" w:rsidRPr="0088530C" w:rsidRDefault="007772B0" w:rsidP="006D0B0C">
      <w:pPr>
        <w:jc w:val="center"/>
      </w:pPr>
      <w:bookmarkStart w:id="265" w:name="_Toc415489067"/>
      <w:r w:rsidRPr="006D0B0C">
        <w:rPr>
          <w:rStyle w:val="FigureCaptionChar"/>
        </w:rPr>
        <w:t xml:space="preserve">Figure A.1: Average Event-Hour Load Impacts by Specification, PG&amp;E </w:t>
      </w:r>
      <w:r w:rsidR="00A818C7" w:rsidRPr="006D0B0C">
        <w:rPr>
          <w:rStyle w:val="FigureCaptionChar"/>
        </w:rPr>
        <w:t xml:space="preserve">Summer </w:t>
      </w:r>
      <w:r w:rsidRPr="006D0B0C">
        <w:rPr>
          <w:rStyle w:val="FigureCaptionChar"/>
        </w:rPr>
        <w:t>Models</w:t>
      </w:r>
      <w:bookmarkEnd w:id="265"/>
      <w:r w:rsidR="008A2873">
        <w:rPr>
          <w:noProof/>
        </w:rPr>
        <w:drawing>
          <wp:inline distT="0" distB="0" distL="0" distR="0" wp14:anchorId="6C2CED6D" wp14:editId="61602C90">
            <wp:extent cx="5486400" cy="3981450"/>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56308E61" w14:textId="01EFAD0C" w:rsidR="007772B0" w:rsidRDefault="007772B0" w:rsidP="009E692D">
      <w:pPr>
        <w:keepNext/>
        <w:keepLines/>
      </w:pPr>
    </w:p>
    <w:p w14:paraId="4480F952" w14:textId="75D2E990" w:rsidR="00A818C7" w:rsidRPr="001047CE" w:rsidRDefault="00A92202" w:rsidP="006D0B0C">
      <w:pPr>
        <w:jc w:val="center"/>
      </w:pPr>
      <w:bookmarkStart w:id="266" w:name="_Toc415489068"/>
      <w:r w:rsidRPr="006D0B0C">
        <w:rPr>
          <w:rStyle w:val="FigureCaptionChar"/>
        </w:rPr>
        <w:t>Figure A.2: Average Event-Hour Load Impacts by Specification, PG&amp;E Non-Summer Models</w:t>
      </w:r>
      <w:bookmarkEnd w:id="266"/>
      <w:r w:rsidR="00A818C7">
        <w:rPr>
          <w:noProof/>
        </w:rPr>
        <w:drawing>
          <wp:inline distT="0" distB="0" distL="0" distR="0" wp14:anchorId="58403288" wp14:editId="6D39EB7B">
            <wp:extent cx="5486400" cy="398145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1FD30FDC" w14:textId="77777777" w:rsidR="007772B0" w:rsidRDefault="007772B0" w:rsidP="007772B0">
      <w:pPr>
        <w:pStyle w:val="FigureCaption"/>
      </w:pPr>
    </w:p>
    <w:p w14:paraId="7F141E9E" w14:textId="24BCDC6D" w:rsidR="007772B0" w:rsidRPr="0088530C" w:rsidRDefault="007772B0" w:rsidP="006D0B0C">
      <w:pPr>
        <w:jc w:val="center"/>
      </w:pPr>
      <w:bookmarkStart w:id="267" w:name="_Toc415489069"/>
      <w:r w:rsidRPr="006D0B0C">
        <w:rPr>
          <w:rStyle w:val="FigureCaptionChar"/>
        </w:rPr>
        <w:lastRenderedPageBreak/>
        <w:t>Figure A</w:t>
      </w:r>
      <w:r w:rsidR="005C7CF7" w:rsidRPr="006D0B0C">
        <w:rPr>
          <w:rStyle w:val="FigureCaptionChar"/>
        </w:rPr>
        <w:t>.3</w:t>
      </w:r>
      <w:r w:rsidRPr="006D0B0C">
        <w:rPr>
          <w:rStyle w:val="FigureCaptionChar"/>
        </w:rPr>
        <w:t xml:space="preserve">: Average Event-Hour Load Impacts by Specification, SCE </w:t>
      </w:r>
      <w:r w:rsidR="005C7CF7" w:rsidRPr="006D0B0C">
        <w:rPr>
          <w:rStyle w:val="FigureCaptionChar"/>
        </w:rPr>
        <w:t xml:space="preserve">Non-Summer </w:t>
      </w:r>
      <w:r w:rsidRPr="006D0B0C">
        <w:rPr>
          <w:rStyle w:val="FigureCaptionChar"/>
        </w:rPr>
        <w:t>Models</w:t>
      </w:r>
      <w:bookmarkEnd w:id="267"/>
      <w:r w:rsidR="00276B4A" w:rsidRPr="00276B4A">
        <w:rPr>
          <w:noProof/>
        </w:rPr>
        <w:t xml:space="preserve"> </w:t>
      </w:r>
      <w:r w:rsidR="00287626">
        <w:rPr>
          <w:noProof/>
        </w:rPr>
        <w:drawing>
          <wp:inline distT="0" distB="0" distL="0" distR="0" wp14:anchorId="7C610FD2" wp14:editId="16EA6979">
            <wp:extent cx="5486400" cy="39814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41E7A057" w14:textId="57BC0EAF" w:rsidR="007772B0" w:rsidRPr="001047CE" w:rsidRDefault="007772B0" w:rsidP="007772B0">
      <w:pPr>
        <w:keepNext/>
        <w:keepLines/>
      </w:pPr>
    </w:p>
    <w:p w14:paraId="6DFEF6B4" w14:textId="77777777" w:rsidR="007772B0" w:rsidRDefault="007772B0" w:rsidP="007772B0">
      <w:pPr>
        <w:pStyle w:val="FigureCaption"/>
      </w:pPr>
    </w:p>
    <w:p w14:paraId="694B5412" w14:textId="0795BEE4" w:rsidR="007772B0" w:rsidRPr="0088530C" w:rsidRDefault="00276B4A" w:rsidP="006D0B0C">
      <w:pPr>
        <w:jc w:val="center"/>
      </w:pPr>
      <w:bookmarkStart w:id="268" w:name="_Toc415489070"/>
      <w:r w:rsidRPr="006D0B0C">
        <w:rPr>
          <w:rStyle w:val="FigureCaptionChar"/>
        </w:rPr>
        <w:t>Figure A.4</w:t>
      </w:r>
      <w:r w:rsidR="007772B0" w:rsidRPr="006D0B0C">
        <w:rPr>
          <w:rStyle w:val="FigureCaptionChar"/>
        </w:rPr>
        <w:t xml:space="preserve">: Average Event-Hour Load Impacts by Specification, SDG&amp;E </w:t>
      </w:r>
      <w:r w:rsidRPr="006D0B0C">
        <w:rPr>
          <w:rStyle w:val="FigureCaptionChar"/>
        </w:rPr>
        <w:t>Summer</w:t>
      </w:r>
      <w:r w:rsidR="007772B0" w:rsidRPr="006D0B0C">
        <w:rPr>
          <w:rStyle w:val="FigureCaptionChar"/>
        </w:rPr>
        <w:t xml:space="preserve"> Models</w:t>
      </w:r>
      <w:bookmarkEnd w:id="268"/>
      <w:r w:rsidRPr="00276B4A">
        <w:rPr>
          <w:noProof/>
        </w:rPr>
        <w:t xml:space="preserve"> </w:t>
      </w:r>
    </w:p>
    <w:p w14:paraId="09E519F9" w14:textId="16C8F5B1" w:rsidR="007772B0" w:rsidRPr="008B552C" w:rsidRDefault="00675879" w:rsidP="007772B0">
      <w:pPr>
        <w:keepNext/>
        <w:keepLines/>
        <w:jc w:val="center"/>
      </w:pPr>
      <w:r>
        <w:t>Results removed due to confidentiality concerns.</w:t>
      </w:r>
    </w:p>
    <w:p w14:paraId="35221A5B" w14:textId="77777777" w:rsidR="007772B0" w:rsidRDefault="007772B0" w:rsidP="007772B0">
      <w:pPr>
        <w:pStyle w:val="FigureCaption"/>
      </w:pPr>
    </w:p>
    <w:p w14:paraId="7859F809" w14:textId="0BE9502B" w:rsidR="007772B0" w:rsidRPr="0088530C" w:rsidRDefault="00276B4A" w:rsidP="006D0B0C">
      <w:pPr>
        <w:jc w:val="center"/>
      </w:pPr>
      <w:bookmarkStart w:id="269" w:name="_Toc415489071"/>
      <w:r w:rsidRPr="006D0B0C">
        <w:rPr>
          <w:rStyle w:val="FigureCaptionChar"/>
        </w:rPr>
        <w:t>Figure A.5</w:t>
      </w:r>
      <w:r w:rsidR="007772B0" w:rsidRPr="006D0B0C">
        <w:rPr>
          <w:rStyle w:val="FigureCaptionChar"/>
        </w:rPr>
        <w:t xml:space="preserve">: Average Event-Hour Load Impacts by Specification, </w:t>
      </w:r>
      <w:r w:rsidRPr="006D0B0C">
        <w:rPr>
          <w:rStyle w:val="FigureCaptionChar"/>
        </w:rPr>
        <w:t>SDG&amp;E Non-Summer</w:t>
      </w:r>
      <w:r w:rsidR="007772B0" w:rsidRPr="006D0B0C">
        <w:rPr>
          <w:rStyle w:val="FigureCaptionChar"/>
        </w:rPr>
        <w:t xml:space="preserve"> Models</w:t>
      </w:r>
      <w:bookmarkEnd w:id="269"/>
      <w:r w:rsidR="00455563" w:rsidRPr="00455563">
        <w:rPr>
          <w:noProof/>
        </w:rPr>
        <w:t xml:space="preserve"> </w:t>
      </w:r>
    </w:p>
    <w:p w14:paraId="7CCF6D0E" w14:textId="77777777" w:rsidR="00675879" w:rsidRPr="008B552C" w:rsidRDefault="00675879" w:rsidP="00675879">
      <w:pPr>
        <w:keepNext/>
        <w:keepLines/>
        <w:jc w:val="center"/>
      </w:pPr>
      <w:r>
        <w:t>Results removed due to confidentiality concerns.</w:t>
      </w:r>
    </w:p>
    <w:p w14:paraId="2E8D6F73" w14:textId="2726CF02" w:rsidR="007772B0" w:rsidRDefault="007772B0" w:rsidP="007772B0">
      <w:pPr>
        <w:keepNext/>
        <w:keepLines/>
      </w:pPr>
    </w:p>
    <w:p w14:paraId="02F96420" w14:textId="77777777" w:rsidR="007772B0" w:rsidRPr="00C24DED" w:rsidRDefault="007772B0" w:rsidP="007772B0"/>
    <w:p w14:paraId="3482CED5" w14:textId="77777777" w:rsidR="007772B0" w:rsidRDefault="007772B0" w:rsidP="007772B0">
      <w:pPr>
        <w:pStyle w:val="Heading3"/>
      </w:pPr>
      <w:bookmarkStart w:id="270" w:name="_Toc415488996"/>
      <w:r>
        <w:t>A.1.3 Synthetic Event Day Tests</w:t>
      </w:r>
      <w:bookmarkEnd w:id="270"/>
    </w:p>
    <w:p w14:paraId="1945857E" w14:textId="25EB0ED4" w:rsidR="007772B0" w:rsidRDefault="007772B0" w:rsidP="007772B0">
      <w:r>
        <w:t>For the specification selected from the testing described in Section A.1.2, we conducted an additional test. The selected specification was estimated on the aggregate customer data (averaged across all customers who submitted a bid on at least one event day), including a set of 24 hourly “synthetic” event-day variables. These variables equaled one o</w:t>
      </w:r>
      <w:r w:rsidR="00455563">
        <w:t>f</w:t>
      </w:r>
      <w:r>
        <w:t xml:space="preserve"> the days listed in Table A.2, with a separate estimate for each hour of the day.</w:t>
      </w:r>
    </w:p>
    <w:p w14:paraId="1B1F0187" w14:textId="77777777" w:rsidR="007772B0" w:rsidRDefault="007772B0" w:rsidP="007772B0"/>
    <w:p w14:paraId="0F8A47DA" w14:textId="77777777" w:rsidR="007772B0" w:rsidRDefault="007772B0" w:rsidP="007772B0">
      <w:r>
        <w:lastRenderedPageBreak/>
        <w:t>If the model produces synthetic event-day coefficients that are not statistically significantly different from zero, the test provides some added confidence that our actual event-day coefficients are not biased. That is, the absence of statistically significant results for the synthetic event days indicates that the remainder of the model is capable of explaining the loads on those days.</w:t>
      </w:r>
    </w:p>
    <w:p w14:paraId="46F32553" w14:textId="77777777" w:rsidR="007772B0" w:rsidRDefault="007772B0" w:rsidP="007772B0"/>
    <w:p w14:paraId="78EBC4A7" w14:textId="35CC985B" w:rsidR="007772B0" w:rsidRDefault="007772B0" w:rsidP="007772B0">
      <w:r>
        <w:t xml:space="preserve">Table A.4 presents the results of this test for each utility, showing only the coefficients during the </w:t>
      </w:r>
      <w:r w:rsidR="008A2873">
        <w:t>hours-ending 12</w:t>
      </w:r>
      <w:r>
        <w:t xml:space="preserve"> through 2</w:t>
      </w:r>
      <w:r w:rsidR="008A2873">
        <w:t>1, which time period includes all actual BIP event hours</w:t>
      </w:r>
      <w:r>
        <w:t xml:space="preserve">. The values in parentheses are p-values, or measures of statistical significance. A p-value less than 0.05 indicates that the estimated coefficient is statistically significantly different from zero with 90 percent confidence. </w:t>
      </w:r>
      <w:r w:rsidR="00C24885" w:rsidRPr="008101E7">
        <w:t xml:space="preserve">The results for </w:t>
      </w:r>
      <w:r w:rsidRPr="008101E7">
        <w:t>SDG&amp;E contain some statistically significant results, but the models perform well overall.</w:t>
      </w:r>
      <w:r w:rsidRPr="00C24885">
        <w:t xml:space="preserve"> </w:t>
      </w:r>
      <w:r w:rsidR="00C24885" w:rsidRPr="00C24885">
        <w:t xml:space="preserve">PG&amp;E’s and </w:t>
      </w:r>
      <w:r w:rsidRPr="00C24885">
        <w:t>SCE’s results indicate that the specification</w:t>
      </w:r>
      <w:r w:rsidR="00C24885" w:rsidRPr="00C24885">
        <w:t>s</w:t>
      </w:r>
      <w:r w:rsidRPr="00C24885">
        <w:t xml:space="preserve"> passed the test in all hours, as none of the event-like load impacts is statistically significant.</w:t>
      </w:r>
    </w:p>
    <w:p w14:paraId="07E44344" w14:textId="77777777" w:rsidR="007772B0" w:rsidRDefault="007772B0" w:rsidP="007772B0"/>
    <w:p w14:paraId="5AF54046" w14:textId="77777777" w:rsidR="007772B0" w:rsidRPr="0088530C" w:rsidRDefault="007772B0" w:rsidP="007772B0">
      <w:pPr>
        <w:pStyle w:val="TableCaption"/>
        <w:keepNext/>
        <w:keepLines/>
      </w:pPr>
      <w:bookmarkStart w:id="271" w:name="_Toc415489043"/>
      <w:r w:rsidRPr="0088530C">
        <w:t xml:space="preserve">Table </w:t>
      </w:r>
      <w:r>
        <w:t>A</w:t>
      </w:r>
      <w:r w:rsidRPr="0088530C">
        <w:t>.</w:t>
      </w:r>
      <w:r>
        <w:t>4</w:t>
      </w:r>
      <w:r w:rsidRPr="0088530C">
        <w:t>: Synthetic Event-Day Tests by Program</w:t>
      </w:r>
      <w:bookmarkEnd w:id="2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
        <w:gridCol w:w="1017"/>
        <w:gridCol w:w="1472"/>
        <w:gridCol w:w="1472"/>
        <w:gridCol w:w="1017"/>
        <w:gridCol w:w="1472"/>
      </w:tblGrid>
      <w:tr w:rsidR="00B6034B" w14:paraId="684FD30A" w14:textId="77777777" w:rsidTr="00B6034B">
        <w:trPr>
          <w:trHeight w:val="323"/>
          <w:jc w:val="center"/>
        </w:trPr>
        <w:tc>
          <w:tcPr>
            <w:tcW w:w="0" w:type="auto"/>
            <w:vMerge w:val="restart"/>
            <w:shd w:val="clear" w:color="auto" w:fill="D9E2F3"/>
            <w:vAlign w:val="center"/>
          </w:tcPr>
          <w:p w14:paraId="0DAF9C98" w14:textId="77777777" w:rsidR="00B6034B" w:rsidRDefault="00B6034B" w:rsidP="009A32A4">
            <w:pPr>
              <w:keepNext/>
              <w:keepLines/>
              <w:rPr>
                <w:rFonts w:ascii="Arial" w:hAnsi="Arial" w:cs="Arial"/>
                <w:b/>
                <w:sz w:val="20"/>
                <w:szCs w:val="20"/>
              </w:rPr>
            </w:pPr>
          </w:p>
          <w:p w14:paraId="25171A8F" w14:textId="77777777" w:rsidR="00B6034B" w:rsidRDefault="00B6034B" w:rsidP="009A32A4">
            <w:pPr>
              <w:keepNext/>
              <w:keepLines/>
              <w:rPr>
                <w:rFonts w:ascii="Arial" w:hAnsi="Arial" w:cs="Arial"/>
                <w:b/>
                <w:sz w:val="20"/>
                <w:szCs w:val="20"/>
              </w:rPr>
            </w:pPr>
            <w:r w:rsidRPr="00AA745A">
              <w:rPr>
                <w:rFonts w:ascii="Arial" w:hAnsi="Arial" w:cs="Arial"/>
                <w:b/>
                <w:sz w:val="20"/>
                <w:szCs w:val="20"/>
              </w:rPr>
              <w:t>Hour</w:t>
            </w:r>
          </w:p>
          <w:p w14:paraId="0262A14A" w14:textId="77777777" w:rsidR="00B6034B" w:rsidRPr="00AA745A" w:rsidRDefault="00B6034B" w:rsidP="009A32A4">
            <w:pPr>
              <w:keepNext/>
              <w:keepLines/>
              <w:rPr>
                <w:rFonts w:ascii="Arial" w:hAnsi="Arial" w:cs="Arial"/>
                <w:b/>
                <w:sz w:val="20"/>
                <w:szCs w:val="20"/>
              </w:rPr>
            </w:pPr>
          </w:p>
        </w:tc>
        <w:tc>
          <w:tcPr>
            <w:tcW w:w="0" w:type="auto"/>
            <w:gridSpan w:val="2"/>
            <w:shd w:val="clear" w:color="auto" w:fill="D9E2F3"/>
            <w:vAlign w:val="center"/>
          </w:tcPr>
          <w:p w14:paraId="0577114D" w14:textId="77027CD7" w:rsidR="00B6034B" w:rsidRPr="00AA745A" w:rsidRDefault="00B6034B" w:rsidP="00B6034B">
            <w:pPr>
              <w:keepNext/>
              <w:keepLines/>
              <w:jc w:val="center"/>
              <w:rPr>
                <w:rFonts w:ascii="Arial" w:hAnsi="Arial" w:cs="Arial"/>
                <w:b/>
                <w:sz w:val="20"/>
                <w:szCs w:val="20"/>
              </w:rPr>
            </w:pPr>
            <w:r w:rsidRPr="00AA745A">
              <w:rPr>
                <w:rFonts w:ascii="Arial" w:hAnsi="Arial" w:cs="Arial"/>
                <w:b/>
                <w:sz w:val="20"/>
                <w:szCs w:val="20"/>
              </w:rPr>
              <w:t>PG&amp;E</w:t>
            </w:r>
          </w:p>
        </w:tc>
        <w:tc>
          <w:tcPr>
            <w:tcW w:w="0" w:type="auto"/>
            <w:shd w:val="clear" w:color="auto" w:fill="D9E2F3"/>
            <w:vAlign w:val="center"/>
          </w:tcPr>
          <w:p w14:paraId="4C474C3B" w14:textId="6BC87D2D" w:rsidR="00B6034B" w:rsidRPr="00AA745A" w:rsidRDefault="00B6034B" w:rsidP="00B6034B">
            <w:pPr>
              <w:keepNext/>
              <w:keepLines/>
              <w:jc w:val="center"/>
              <w:rPr>
                <w:rFonts w:ascii="Arial" w:hAnsi="Arial" w:cs="Arial"/>
                <w:b/>
                <w:sz w:val="20"/>
                <w:szCs w:val="20"/>
              </w:rPr>
            </w:pPr>
            <w:r w:rsidRPr="00AA745A">
              <w:rPr>
                <w:rFonts w:ascii="Arial" w:hAnsi="Arial" w:cs="Arial"/>
                <w:b/>
                <w:sz w:val="20"/>
                <w:szCs w:val="20"/>
              </w:rPr>
              <w:t>SCE</w:t>
            </w:r>
          </w:p>
        </w:tc>
        <w:tc>
          <w:tcPr>
            <w:tcW w:w="0" w:type="auto"/>
            <w:gridSpan w:val="2"/>
            <w:shd w:val="clear" w:color="auto" w:fill="D9E2F3"/>
            <w:vAlign w:val="center"/>
          </w:tcPr>
          <w:p w14:paraId="6644513E" w14:textId="212ED978" w:rsidR="00B6034B" w:rsidRPr="00AA745A" w:rsidRDefault="00B6034B" w:rsidP="00B6034B">
            <w:pPr>
              <w:keepNext/>
              <w:keepLines/>
              <w:jc w:val="center"/>
              <w:rPr>
                <w:rFonts w:ascii="Arial" w:hAnsi="Arial" w:cs="Arial"/>
                <w:b/>
                <w:sz w:val="20"/>
                <w:szCs w:val="20"/>
              </w:rPr>
            </w:pPr>
            <w:r w:rsidRPr="00AA745A">
              <w:rPr>
                <w:rFonts w:ascii="Arial" w:hAnsi="Arial" w:cs="Arial"/>
                <w:b/>
                <w:sz w:val="20"/>
                <w:szCs w:val="20"/>
              </w:rPr>
              <w:t>SDG&amp;E</w:t>
            </w:r>
          </w:p>
        </w:tc>
      </w:tr>
      <w:tr w:rsidR="00B6034B" w14:paraId="44EADE0E" w14:textId="77777777" w:rsidTr="00B6034B">
        <w:trPr>
          <w:jc w:val="center"/>
        </w:trPr>
        <w:tc>
          <w:tcPr>
            <w:tcW w:w="0" w:type="auto"/>
            <w:vMerge/>
            <w:shd w:val="clear" w:color="auto" w:fill="D9E2F3"/>
            <w:vAlign w:val="center"/>
          </w:tcPr>
          <w:p w14:paraId="745DA23F" w14:textId="77777777" w:rsidR="00B6034B" w:rsidRDefault="00B6034B" w:rsidP="009A32A4">
            <w:pPr>
              <w:keepNext/>
              <w:keepLines/>
              <w:rPr>
                <w:rFonts w:ascii="Arial" w:hAnsi="Arial" w:cs="Arial"/>
                <w:b/>
                <w:sz w:val="20"/>
                <w:szCs w:val="20"/>
              </w:rPr>
            </w:pPr>
          </w:p>
        </w:tc>
        <w:tc>
          <w:tcPr>
            <w:tcW w:w="0" w:type="auto"/>
            <w:shd w:val="clear" w:color="auto" w:fill="D9E2F3"/>
            <w:vAlign w:val="center"/>
          </w:tcPr>
          <w:p w14:paraId="47264060" w14:textId="357C3925" w:rsidR="00B6034B" w:rsidRPr="00AA745A" w:rsidRDefault="00B6034B" w:rsidP="009A32A4">
            <w:pPr>
              <w:keepNext/>
              <w:keepLines/>
              <w:rPr>
                <w:rFonts w:ascii="Arial" w:hAnsi="Arial" w:cs="Arial"/>
                <w:b/>
                <w:sz w:val="20"/>
                <w:szCs w:val="20"/>
              </w:rPr>
            </w:pPr>
            <w:r>
              <w:rPr>
                <w:rFonts w:ascii="Arial" w:hAnsi="Arial" w:cs="Arial"/>
                <w:b/>
                <w:sz w:val="20"/>
                <w:szCs w:val="20"/>
              </w:rPr>
              <w:t>Summer</w:t>
            </w:r>
          </w:p>
        </w:tc>
        <w:tc>
          <w:tcPr>
            <w:tcW w:w="0" w:type="auto"/>
            <w:shd w:val="clear" w:color="auto" w:fill="D9E2F3"/>
            <w:vAlign w:val="center"/>
          </w:tcPr>
          <w:p w14:paraId="6C1D99CB" w14:textId="79A90FCA" w:rsidR="00B6034B" w:rsidRPr="00AA745A" w:rsidRDefault="00B6034B" w:rsidP="009A32A4">
            <w:pPr>
              <w:keepNext/>
              <w:keepLines/>
              <w:rPr>
                <w:rFonts w:ascii="Arial" w:hAnsi="Arial" w:cs="Arial"/>
                <w:b/>
                <w:sz w:val="20"/>
                <w:szCs w:val="20"/>
              </w:rPr>
            </w:pPr>
            <w:r>
              <w:rPr>
                <w:rFonts w:ascii="Arial" w:hAnsi="Arial" w:cs="Arial"/>
                <w:b/>
                <w:sz w:val="20"/>
                <w:szCs w:val="20"/>
              </w:rPr>
              <w:t>Non-Summer</w:t>
            </w:r>
          </w:p>
        </w:tc>
        <w:tc>
          <w:tcPr>
            <w:tcW w:w="0" w:type="auto"/>
            <w:shd w:val="clear" w:color="auto" w:fill="D9E2F3"/>
            <w:vAlign w:val="center"/>
          </w:tcPr>
          <w:p w14:paraId="21807586" w14:textId="69376EDC" w:rsidR="00B6034B" w:rsidRPr="00AA745A" w:rsidRDefault="00B6034B" w:rsidP="009A32A4">
            <w:pPr>
              <w:keepNext/>
              <w:keepLines/>
              <w:rPr>
                <w:rFonts w:ascii="Arial" w:hAnsi="Arial" w:cs="Arial"/>
                <w:b/>
                <w:sz w:val="20"/>
                <w:szCs w:val="20"/>
              </w:rPr>
            </w:pPr>
            <w:r>
              <w:rPr>
                <w:rFonts w:ascii="Arial" w:hAnsi="Arial" w:cs="Arial"/>
                <w:b/>
                <w:sz w:val="20"/>
                <w:szCs w:val="20"/>
              </w:rPr>
              <w:t>Non-Summer</w:t>
            </w:r>
          </w:p>
        </w:tc>
        <w:tc>
          <w:tcPr>
            <w:tcW w:w="0" w:type="auto"/>
            <w:shd w:val="clear" w:color="auto" w:fill="D9E2F3"/>
            <w:vAlign w:val="center"/>
          </w:tcPr>
          <w:p w14:paraId="29CCABEA" w14:textId="0EA4E25D" w:rsidR="00B6034B" w:rsidRPr="00AA745A" w:rsidRDefault="00B6034B" w:rsidP="009A32A4">
            <w:pPr>
              <w:keepNext/>
              <w:keepLines/>
              <w:rPr>
                <w:rFonts w:ascii="Arial" w:hAnsi="Arial" w:cs="Arial"/>
                <w:b/>
                <w:sz w:val="20"/>
                <w:szCs w:val="20"/>
              </w:rPr>
            </w:pPr>
            <w:r>
              <w:rPr>
                <w:rFonts w:ascii="Arial" w:hAnsi="Arial" w:cs="Arial"/>
                <w:b/>
                <w:sz w:val="20"/>
                <w:szCs w:val="20"/>
              </w:rPr>
              <w:t>Summer</w:t>
            </w:r>
          </w:p>
        </w:tc>
        <w:tc>
          <w:tcPr>
            <w:tcW w:w="0" w:type="auto"/>
            <w:shd w:val="clear" w:color="auto" w:fill="D9E2F3"/>
            <w:vAlign w:val="center"/>
          </w:tcPr>
          <w:p w14:paraId="58295691" w14:textId="668CC799" w:rsidR="00B6034B" w:rsidRPr="00AA745A" w:rsidRDefault="00B6034B" w:rsidP="009A32A4">
            <w:pPr>
              <w:keepNext/>
              <w:keepLines/>
              <w:rPr>
                <w:rFonts w:ascii="Arial" w:hAnsi="Arial" w:cs="Arial"/>
                <w:b/>
                <w:sz w:val="20"/>
                <w:szCs w:val="20"/>
              </w:rPr>
            </w:pPr>
            <w:r>
              <w:rPr>
                <w:rFonts w:ascii="Arial" w:hAnsi="Arial" w:cs="Arial"/>
                <w:b/>
                <w:sz w:val="20"/>
                <w:szCs w:val="20"/>
              </w:rPr>
              <w:t>Non-Summer</w:t>
            </w:r>
          </w:p>
        </w:tc>
      </w:tr>
      <w:tr w:rsidR="00A2035B" w14:paraId="48737513" w14:textId="77777777" w:rsidTr="00A818C7">
        <w:trPr>
          <w:jc w:val="center"/>
        </w:trPr>
        <w:tc>
          <w:tcPr>
            <w:tcW w:w="0" w:type="auto"/>
            <w:shd w:val="clear" w:color="auto" w:fill="auto"/>
            <w:vAlign w:val="center"/>
          </w:tcPr>
          <w:p w14:paraId="28C957A6" w14:textId="105F394A" w:rsidR="00A2035B" w:rsidRPr="00AA745A" w:rsidRDefault="00A2035B" w:rsidP="0013701C">
            <w:pPr>
              <w:keepNext/>
              <w:keepLines/>
              <w:rPr>
                <w:rFonts w:ascii="Arial" w:hAnsi="Arial" w:cs="Arial"/>
                <w:sz w:val="20"/>
                <w:szCs w:val="20"/>
              </w:rPr>
            </w:pPr>
            <w:r>
              <w:rPr>
                <w:rFonts w:ascii="Arial" w:hAnsi="Arial" w:cs="Arial"/>
                <w:sz w:val="20"/>
                <w:szCs w:val="20"/>
              </w:rPr>
              <w:t>12</w:t>
            </w:r>
          </w:p>
        </w:tc>
        <w:tc>
          <w:tcPr>
            <w:tcW w:w="0" w:type="auto"/>
            <w:shd w:val="clear" w:color="auto" w:fill="auto"/>
            <w:vAlign w:val="center"/>
          </w:tcPr>
          <w:p w14:paraId="2AE40EF7" w14:textId="77777777" w:rsidR="00A2035B" w:rsidRDefault="00A2035B" w:rsidP="0013701C">
            <w:pPr>
              <w:jc w:val="center"/>
              <w:rPr>
                <w:rFonts w:ascii="Arial" w:hAnsi="Arial" w:cs="Arial"/>
                <w:sz w:val="20"/>
                <w:szCs w:val="20"/>
              </w:rPr>
            </w:pPr>
            <w:r>
              <w:rPr>
                <w:rFonts w:ascii="Arial" w:hAnsi="Arial" w:cs="Arial"/>
                <w:sz w:val="20"/>
                <w:szCs w:val="20"/>
              </w:rPr>
              <w:t>-0.015</w:t>
            </w:r>
          </w:p>
          <w:p w14:paraId="4F343E11" w14:textId="5D1D401F" w:rsidR="00A2035B" w:rsidRDefault="00A2035B" w:rsidP="0013701C">
            <w:pPr>
              <w:jc w:val="center"/>
              <w:rPr>
                <w:rFonts w:ascii="Arial" w:hAnsi="Arial" w:cs="Arial"/>
                <w:sz w:val="20"/>
                <w:szCs w:val="20"/>
              </w:rPr>
            </w:pPr>
            <w:r>
              <w:rPr>
                <w:rFonts w:ascii="Arial" w:hAnsi="Arial" w:cs="Arial"/>
                <w:sz w:val="20"/>
                <w:szCs w:val="20"/>
              </w:rPr>
              <w:t>(0.32)</w:t>
            </w:r>
          </w:p>
        </w:tc>
        <w:tc>
          <w:tcPr>
            <w:tcW w:w="0" w:type="auto"/>
            <w:vAlign w:val="center"/>
          </w:tcPr>
          <w:p w14:paraId="177B0C1C" w14:textId="77777777" w:rsidR="00A2035B" w:rsidRDefault="00A2035B" w:rsidP="0013701C">
            <w:pPr>
              <w:jc w:val="center"/>
              <w:rPr>
                <w:rFonts w:ascii="Arial" w:hAnsi="Arial" w:cs="Arial"/>
                <w:sz w:val="20"/>
                <w:szCs w:val="20"/>
              </w:rPr>
            </w:pPr>
            <w:r>
              <w:rPr>
                <w:rFonts w:ascii="Arial" w:hAnsi="Arial" w:cs="Arial"/>
                <w:sz w:val="20"/>
                <w:szCs w:val="20"/>
              </w:rPr>
              <w:t>-0.001</w:t>
            </w:r>
          </w:p>
          <w:p w14:paraId="223DE5F3" w14:textId="2E016C01" w:rsidR="00A2035B" w:rsidRDefault="00A2035B" w:rsidP="0013701C">
            <w:pPr>
              <w:jc w:val="center"/>
              <w:rPr>
                <w:rFonts w:ascii="Arial" w:hAnsi="Arial" w:cs="Arial"/>
                <w:sz w:val="20"/>
                <w:szCs w:val="20"/>
              </w:rPr>
            </w:pPr>
            <w:r>
              <w:rPr>
                <w:rFonts w:ascii="Arial" w:hAnsi="Arial" w:cs="Arial"/>
                <w:sz w:val="20"/>
                <w:szCs w:val="20"/>
              </w:rPr>
              <w:t>(0.96)</w:t>
            </w:r>
          </w:p>
        </w:tc>
        <w:tc>
          <w:tcPr>
            <w:tcW w:w="0" w:type="auto"/>
            <w:shd w:val="clear" w:color="auto" w:fill="auto"/>
            <w:vAlign w:val="center"/>
          </w:tcPr>
          <w:p w14:paraId="136EA689" w14:textId="15421294" w:rsidR="00A2035B" w:rsidRDefault="000D1A07" w:rsidP="0013701C">
            <w:pPr>
              <w:jc w:val="center"/>
              <w:rPr>
                <w:rFonts w:ascii="Arial" w:hAnsi="Arial" w:cs="Arial"/>
                <w:sz w:val="20"/>
                <w:szCs w:val="20"/>
              </w:rPr>
            </w:pPr>
            <w:r>
              <w:rPr>
                <w:rFonts w:ascii="Arial" w:hAnsi="Arial" w:cs="Arial"/>
                <w:sz w:val="20"/>
                <w:szCs w:val="20"/>
              </w:rPr>
              <w:t>-0.033</w:t>
            </w:r>
          </w:p>
          <w:p w14:paraId="3BAB519A" w14:textId="0A29BD02" w:rsidR="00A2035B" w:rsidRDefault="000D1A07" w:rsidP="0013701C">
            <w:pPr>
              <w:jc w:val="center"/>
              <w:rPr>
                <w:rFonts w:ascii="Arial" w:hAnsi="Arial" w:cs="Arial"/>
                <w:sz w:val="20"/>
                <w:szCs w:val="20"/>
              </w:rPr>
            </w:pPr>
            <w:r>
              <w:rPr>
                <w:rFonts w:ascii="Arial" w:hAnsi="Arial" w:cs="Arial"/>
                <w:sz w:val="20"/>
                <w:szCs w:val="20"/>
              </w:rPr>
              <w:t>(0.23</w:t>
            </w:r>
            <w:r w:rsidR="00A2035B">
              <w:rPr>
                <w:rFonts w:ascii="Arial" w:hAnsi="Arial" w:cs="Arial"/>
                <w:sz w:val="20"/>
                <w:szCs w:val="20"/>
              </w:rPr>
              <w:t>)</w:t>
            </w:r>
          </w:p>
        </w:tc>
        <w:tc>
          <w:tcPr>
            <w:tcW w:w="0" w:type="auto"/>
            <w:vAlign w:val="center"/>
          </w:tcPr>
          <w:p w14:paraId="603F938B" w14:textId="77777777" w:rsidR="00A2035B" w:rsidRDefault="00A2035B" w:rsidP="0013701C">
            <w:pPr>
              <w:jc w:val="center"/>
              <w:rPr>
                <w:rFonts w:ascii="Arial" w:hAnsi="Arial" w:cs="Arial"/>
                <w:sz w:val="20"/>
                <w:szCs w:val="20"/>
              </w:rPr>
            </w:pPr>
            <w:r>
              <w:rPr>
                <w:rFonts w:ascii="Arial" w:hAnsi="Arial" w:cs="Arial"/>
                <w:sz w:val="20"/>
                <w:szCs w:val="20"/>
              </w:rPr>
              <w:t>-0.014</w:t>
            </w:r>
          </w:p>
          <w:p w14:paraId="36664EDF" w14:textId="29C59A6D" w:rsidR="00A2035B" w:rsidRDefault="00A2035B" w:rsidP="0013701C">
            <w:pPr>
              <w:jc w:val="center"/>
              <w:rPr>
                <w:rFonts w:ascii="Arial" w:hAnsi="Arial" w:cs="Arial"/>
                <w:sz w:val="20"/>
                <w:szCs w:val="20"/>
              </w:rPr>
            </w:pPr>
            <w:r>
              <w:rPr>
                <w:rFonts w:ascii="Arial" w:hAnsi="Arial" w:cs="Arial"/>
                <w:sz w:val="20"/>
                <w:szCs w:val="20"/>
              </w:rPr>
              <w:t>(0.62)</w:t>
            </w:r>
          </w:p>
        </w:tc>
        <w:tc>
          <w:tcPr>
            <w:tcW w:w="0" w:type="auto"/>
            <w:shd w:val="clear" w:color="auto" w:fill="auto"/>
            <w:vAlign w:val="center"/>
          </w:tcPr>
          <w:p w14:paraId="4EDC1304" w14:textId="77777777" w:rsidR="00A2035B" w:rsidRDefault="00A2035B" w:rsidP="0013701C">
            <w:pPr>
              <w:jc w:val="center"/>
              <w:rPr>
                <w:rFonts w:ascii="Arial" w:hAnsi="Arial" w:cs="Arial"/>
                <w:sz w:val="20"/>
                <w:szCs w:val="20"/>
              </w:rPr>
            </w:pPr>
            <w:r>
              <w:rPr>
                <w:rFonts w:ascii="Arial" w:hAnsi="Arial" w:cs="Arial"/>
                <w:sz w:val="20"/>
                <w:szCs w:val="20"/>
              </w:rPr>
              <w:t>0.037</w:t>
            </w:r>
          </w:p>
          <w:p w14:paraId="0DEC9742" w14:textId="0393563F" w:rsidR="00A2035B" w:rsidRDefault="00A2035B" w:rsidP="0013701C">
            <w:pPr>
              <w:jc w:val="center"/>
              <w:rPr>
                <w:rFonts w:ascii="Arial" w:hAnsi="Arial" w:cs="Arial"/>
                <w:sz w:val="20"/>
                <w:szCs w:val="20"/>
              </w:rPr>
            </w:pPr>
            <w:r>
              <w:rPr>
                <w:rFonts w:ascii="Arial" w:hAnsi="Arial" w:cs="Arial"/>
                <w:sz w:val="20"/>
                <w:szCs w:val="20"/>
              </w:rPr>
              <w:t>(0.10)</w:t>
            </w:r>
          </w:p>
        </w:tc>
      </w:tr>
      <w:tr w:rsidR="0013701C" w14:paraId="7A0E9505" w14:textId="77777777" w:rsidTr="00A818C7">
        <w:trPr>
          <w:jc w:val="center"/>
        </w:trPr>
        <w:tc>
          <w:tcPr>
            <w:tcW w:w="0" w:type="auto"/>
            <w:shd w:val="clear" w:color="auto" w:fill="auto"/>
            <w:vAlign w:val="center"/>
          </w:tcPr>
          <w:p w14:paraId="596008B6" w14:textId="6BD27304" w:rsidR="0013701C" w:rsidRPr="00AA745A" w:rsidRDefault="0013701C" w:rsidP="0013701C">
            <w:pPr>
              <w:keepNext/>
              <w:keepLines/>
              <w:rPr>
                <w:rFonts w:ascii="Arial" w:hAnsi="Arial" w:cs="Arial"/>
                <w:sz w:val="20"/>
                <w:szCs w:val="20"/>
              </w:rPr>
            </w:pPr>
            <w:r w:rsidRPr="00AA745A">
              <w:rPr>
                <w:rFonts w:ascii="Arial" w:hAnsi="Arial" w:cs="Arial"/>
                <w:sz w:val="20"/>
                <w:szCs w:val="20"/>
              </w:rPr>
              <w:t>13</w:t>
            </w:r>
          </w:p>
        </w:tc>
        <w:tc>
          <w:tcPr>
            <w:tcW w:w="0" w:type="auto"/>
            <w:shd w:val="clear" w:color="auto" w:fill="auto"/>
            <w:vAlign w:val="center"/>
          </w:tcPr>
          <w:p w14:paraId="348FF6CB" w14:textId="092F9BBE" w:rsidR="0013701C" w:rsidRDefault="0013701C" w:rsidP="0013701C">
            <w:pPr>
              <w:jc w:val="center"/>
              <w:rPr>
                <w:rFonts w:ascii="Arial" w:hAnsi="Arial" w:cs="Arial"/>
                <w:sz w:val="20"/>
                <w:szCs w:val="20"/>
              </w:rPr>
            </w:pPr>
            <w:r>
              <w:rPr>
                <w:rFonts w:ascii="Arial" w:hAnsi="Arial" w:cs="Arial"/>
                <w:sz w:val="20"/>
                <w:szCs w:val="20"/>
              </w:rPr>
              <w:t>-0.011</w:t>
            </w:r>
          </w:p>
          <w:p w14:paraId="7C16C0D9" w14:textId="140E2A76" w:rsidR="0013701C" w:rsidRPr="00C24DED" w:rsidRDefault="0013701C" w:rsidP="0013701C">
            <w:pPr>
              <w:jc w:val="center"/>
              <w:rPr>
                <w:rFonts w:ascii="Arial" w:hAnsi="Arial" w:cs="Arial"/>
                <w:sz w:val="20"/>
                <w:szCs w:val="20"/>
              </w:rPr>
            </w:pPr>
            <w:r>
              <w:rPr>
                <w:rFonts w:ascii="Arial" w:hAnsi="Arial" w:cs="Arial"/>
                <w:sz w:val="20"/>
                <w:szCs w:val="20"/>
              </w:rPr>
              <w:t>(0.49)</w:t>
            </w:r>
          </w:p>
        </w:tc>
        <w:tc>
          <w:tcPr>
            <w:tcW w:w="0" w:type="auto"/>
            <w:vAlign w:val="center"/>
          </w:tcPr>
          <w:p w14:paraId="5A947198" w14:textId="4C4A2F3F" w:rsidR="0013701C" w:rsidRDefault="0013701C" w:rsidP="0013701C">
            <w:pPr>
              <w:jc w:val="center"/>
              <w:rPr>
                <w:rFonts w:ascii="Arial" w:hAnsi="Arial" w:cs="Arial"/>
                <w:sz w:val="20"/>
                <w:szCs w:val="20"/>
              </w:rPr>
            </w:pPr>
            <w:r>
              <w:rPr>
                <w:rFonts w:ascii="Arial" w:hAnsi="Arial" w:cs="Arial"/>
                <w:sz w:val="20"/>
                <w:szCs w:val="20"/>
              </w:rPr>
              <w:t>-0.004</w:t>
            </w:r>
          </w:p>
          <w:p w14:paraId="4DA417B3" w14:textId="7EE46695" w:rsidR="0013701C" w:rsidRDefault="0013701C" w:rsidP="0013701C">
            <w:pPr>
              <w:jc w:val="center"/>
              <w:rPr>
                <w:rFonts w:ascii="Arial" w:hAnsi="Arial" w:cs="Arial"/>
                <w:sz w:val="20"/>
                <w:szCs w:val="20"/>
              </w:rPr>
            </w:pPr>
            <w:r>
              <w:rPr>
                <w:rFonts w:ascii="Arial" w:hAnsi="Arial" w:cs="Arial"/>
                <w:sz w:val="20"/>
                <w:szCs w:val="20"/>
              </w:rPr>
              <w:t>(0.82)</w:t>
            </w:r>
          </w:p>
        </w:tc>
        <w:tc>
          <w:tcPr>
            <w:tcW w:w="0" w:type="auto"/>
            <w:shd w:val="clear" w:color="auto" w:fill="auto"/>
            <w:vAlign w:val="center"/>
          </w:tcPr>
          <w:p w14:paraId="0AB8B8A5" w14:textId="2DF060F9" w:rsidR="0013701C" w:rsidRDefault="000D1A07" w:rsidP="0013701C">
            <w:pPr>
              <w:jc w:val="center"/>
              <w:rPr>
                <w:rFonts w:ascii="Arial" w:hAnsi="Arial" w:cs="Arial"/>
                <w:sz w:val="20"/>
                <w:szCs w:val="20"/>
              </w:rPr>
            </w:pPr>
            <w:r>
              <w:rPr>
                <w:rFonts w:ascii="Arial" w:hAnsi="Arial" w:cs="Arial"/>
                <w:sz w:val="20"/>
                <w:szCs w:val="20"/>
              </w:rPr>
              <w:t>-0.047</w:t>
            </w:r>
          </w:p>
          <w:p w14:paraId="34A1EB39" w14:textId="16B5DC75" w:rsidR="0013701C" w:rsidRPr="004D2284" w:rsidRDefault="000D1A07" w:rsidP="0013701C">
            <w:pPr>
              <w:jc w:val="center"/>
              <w:rPr>
                <w:rFonts w:ascii="Arial" w:hAnsi="Arial" w:cs="Arial"/>
                <w:sz w:val="20"/>
                <w:szCs w:val="20"/>
              </w:rPr>
            </w:pPr>
            <w:r>
              <w:rPr>
                <w:rFonts w:ascii="Arial" w:hAnsi="Arial" w:cs="Arial"/>
                <w:sz w:val="20"/>
                <w:szCs w:val="20"/>
              </w:rPr>
              <w:t>(0.12</w:t>
            </w:r>
            <w:r w:rsidR="0013701C">
              <w:rPr>
                <w:rFonts w:ascii="Arial" w:hAnsi="Arial" w:cs="Arial"/>
                <w:sz w:val="20"/>
                <w:szCs w:val="20"/>
              </w:rPr>
              <w:t>)</w:t>
            </w:r>
          </w:p>
        </w:tc>
        <w:tc>
          <w:tcPr>
            <w:tcW w:w="0" w:type="auto"/>
            <w:vAlign w:val="center"/>
          </w:tcPr>
          <w:p w14:paraId="1924801A" w14:textId="2953C089" w:rsidR="0013701C" w:rsidRDefault="0013701C" w:rsidP="0013701C">
            <w:pPr>
              <w:jc w:val="center"/>
              <w:rPr>
                <w:rFonts w:ascii="Arial" w:hAnsi="Arial" w:cs="Arial"/>
                <w:sz w:val="20"/>
                <w:szCs w:val="20"/>
              </w:rPr>
            </w:pPr>
            <w:r>
              <w:rPr>
                <w:rFonts w:ascii="Arial" w:hAnsi="Arial" w:cs="Arial"/>
                <w:sz w:val="20"/>
                <w:szCs w:val="20"/>
              </w:rPr>
              <w:t>-0.062</w:t>
            </w:r>
          </w:p>
          <w:p w14:paraId="1814C916" w14:textId="45ED7F13" w:rsidR="0013701C" w:rsidRPr="00C24DED" w:rsidRDefault="00C20214" w:rsidP="0013701C">
            <w:pPr>
              <w:keepNext/>
              <w:keepLines/>
              <w:jc w:val="center"/>
              <w:rPr>
                <w:rFonts w:ascii="Arial" w:hAnsi="Arial" w:cs="Arial"/>
                <w:sz w:val="20"/>
                <w:szCs w:val="20"/>
              </w:rPr>
            </w:pPr>
            <w:r>
              <w:rPr>
                <w:rFonts w:ascii="Arial" w:hAnsi="Arial" w:cs="Arial"/>
                <w:sz w:val="20"/>
                <w:szCs w:val="20"/>
              </w:rPr>
              <w:t>(0.03</w:t>
            </w:r>
            <w:r w:rsidR="0013701C">
              <w:rPr>
                <w:rFonts w:ascii="Arial" w:hAnsi="Arial" w:cs="Arial"/>
                <w:sz w:val="20"/>
                <w:szCs w:val="20"/>
              </w:rPr>
              <w:t>)</w:t>
            </w:r>
          </w:p>
        </w:tc>
        <w:tc>
          <w:tcPr>
            <w:tcW w:w="0" w:type="auto"/>
            <w:shd w:val="clear" w:color="auto" w:fill="auto"/>
            <w:vAlign w:val="center"/>
          </w:tcPr>
          <w:p w14:paraId="456AD36F" w14:textId="4C1293B1" w:rsidR="0013701C" w:rsidRDefault="00C20214" w:rsidP="0013701C">
            <w:pPr>
              <w:jc w:val="center"/>
              <w:rPr>
                <w:rFonts w:ascii="Arial" w:hAnsi="Arial" w:cs="Arial"/>
                <w:sz w:val="20"/>
                <w:szCs w:val="20"/>
              </w:rPr>
            </w:pPr>
            <w:r>
              <w:rPr>
                <w:rFonts w:ascii="Arial" w:hAnsi="Arial" w:cs="Arial"/>
                <w:sz w:val="20"/>
                <w:szCs w:val="20"/>
              </w:rPr>
              <w:t>0.039</w:t>
            </w:r>
          </w:p>
          <w:p w14:paraId="42C9C079" w14:textId="6D9FEE8D" w:rsidR="0013701C" w:rsidRPr="00C24DED" w:rsidRDefault="00C20214" w:rsidP="0013701C">
            <w:pPr>
              <w:keepNext/>
              <w:keepLines/>
              <w:jc w:val="center"/>
              <w:rPr>
                <w:rFonts w:ascii="Arial" w:hAnsi="Arial" w:cs="Arial"/>
                <w:sz w:val="20"/>
                <w:szCs w:val="20"/>
              </w:rPr>
            </w:pPr>
            <w:r>
              <w:rPr>
                <w:rFonts w:ascii="Arial" w:hAnsi="Arial" w:cs="Arial"/>
                <w:sz w:val="20"/>
                <w:szCs w:val="20"/>
              </w:rPr>
              <w:t>(0.08</w:t>
            </w:r>
            <w:r w:rsidR="0013701C">
              <w:rPr>
                <w:rFonts w:ascii="Arial" w:hAnsi="Arial" w:cs="Arial"/>
                <w:sz w:val="20"/>
                <w:szCs w:val="20"/>
              </w:rPr>
              <w:t>)</w:t>
            </w:r>
          </w:p>
        </w:tc>
      </w:tr>
      <w:tr w:rsidR="0013701C" w14:paraId="36A528D0" w14:textId="77777777" w:rsidTr="00A818C7">
        <w:trPr>
          <w:jc w:val="center"/>
        </w:trPr>
        <w:tc>
          <w:tcPr>
            <w:tcW w:w="0" w:type="auto"/>
            <w:shd w:val="clear" w:color="auto" w:fill="auto"/>
            <w:vAlign w:val="center"/>
          </w:tcPr>
          <w:p w14:paraId="1C77C9DE" w14:textId="6B905633" w:rsidR="0013701C" w:rsidRPr="00AA745A" w:rsidRDefault="0013701C" w:rsidP="0013701C">
            <w:pPr>
              <w:keepNext/>
              <w:keepLines/>
              <w:rPr>
                <w:rFonts w:ascii="Arial" w:hAnsi="Arial" w:cs="Arial"/>
                <w:sz w:val="20"/>
                <w:szCs w:val="20"/>
              </w:rPr>
            </w:pPr>
            <w:r w:rsidRPr="00AA745A">
              <w:rPr>
                <w:rFonts w:ascii="Arial" w:hAnsi="Arial" w:cs="Arial"/>
                <w:sz w:val="20"/>
                <w:szCs w:val="20"/>
              </w:rPr>
              <w:t>14</w:t>
            </w:r>
          </w:p>
        </w:tc>
        <w:tc>
          <w:tcPr>
            <w:tcW w:w="0" w:type="auto"/>
            <w:shd w:val="clear" w:color="auto" w:fill="auto"/>
            <w:vAlign w:val="center"/>
          </w:tcPr>
          <w:p w14:paraId="503220D0" w14:textId="0BA097A4" w:rsidR="0013701C" w:rsidRDefault="0013701C" w:rsidP="0013701C">
            <w:pPr>
              <w:jc w:val="center"/>
              <w:rPr>
                <w:rFonts w:ascii="Arial" w:hAnsi="Arial" w:cs="Arial"/>
                <w:sz w:val="20"/>
                <w:szCs w:val="20"/>
              </w:rPr>
            </w:pPr>
            <w:r>
              <w:rPr>
                <w:rFonts w:ascii="Arial" w:hAnsi="Arial" w:cs="Arial"/>
                <w:sz w:val="20"/>
                <w:szCs w:val="20"/>
              </w:rPr>
              <w:t>-0.013</w:t>
            </w:r>
          </w:p>
          <w:p w14:paraId="11D7DA54" w14:textId="30141701" w:rsidR="0013701C" w:rsidRPr="00C24DED" w:rsidRDefault="0013701C" w:rsidP="0013701C">
            <w:pPr>
              <w:jc w:val="center"/>
              <w:rPr>
                <w:rFonts w:ascii="Arial" w:hAnsi="Arial" w:cs="Arial"/>
                <w:sz w:val="20"/>
                <w:szCs w:val="20"/>
              </w:rPr>
            </w:pPr>
            <w:r>
              <w:rPr>
                <w:rFonts w:ascii="Arial" w:hAnsi="Arial" w:cs="Arial"/>
                <w:sz w:val="20"/>
                <w:szCs w:val="20"/>
              </w:rPr>
              <w:t>(0.39)</w:t>
            </w:r>
          </w:p>
        </w:tc>
        <w:tc>
          <w:tcPr>
            <w:tcW w:w="0" w:type="auto"/>
            <w:vAlign w:val="center"/>
          </w:tcPr>
          <w:p w14:paraId="47A0B2F2" w14:textId="77777777" w:rsidR="0013701C" w:rsidRDefault="0013701C" w:rsidP="0013701C">
            <w:pPr>
              <w:jc w:val="center"/>
              <w:rPr>
                <w:rFonts w:ascii="Arial" w:hAnsi="Arial" w:cs="Arial"/>
                <w:sz w:val="20"/>
                <w:szCs w:val="20"/>
              </w:rPr>
            </w:pPr>
            <w:r>
              <w:rPr>
                <w:rFonts w:ascii="Arial" w:hAnsi="Arial" w:cs="Arial"/>
                <w:sz w:val="20"/>
                <w:szCs w:val="20"/>
              </w:rPr>
              <w:t>-0.006</w:t>
            </w:r>
          </w:p>
          <w:p w14:paraId="20D976D9" w14:textId="0E14FF22" w:rsidR="0013701C" w:rsidRDefault="0013701C" w:rsidP="0013701C">
            <w:pPr>
              <w:jc w:val="center"/>
              <w:rPr>
                <w:rFonts w:ascii="Arial" w:hAnsi="Arial" w:cs="Arial"/>
                <w:sz w:val="20"/>
                <w:szCs w:val="20"/>
              </w:rPr>
            </w:pPr>
            <w:r>
              <w:rPr>
                <w:rFonts w:ascii="Arial" w:hAnsi="Arial" w:cs="Arial"/>
                <w:sz w:val="20"/>
                <w:szCs w:val="20"/>
              </w:rPr>
              <w:t>(0.76)</w:t>
            </w:r>
          </w:p>
        </w:tc>
        <w:tc>
          <w:tcPr>
            <w:tcW w:w="0" w:type="auto"/>
            <w:shd w:val="clear" w:color="auto" w:fill="auto"/>
            <w:vAlign w:val="center"/>
          </w:tcPr>
          <w:p w14:paraId="1EB3F884" w14:textId="2FCF06B7" w:rsidR="0013701C" w:rsidRDefault="0013701C" w:rsidP="0013701C">
            <w:pPr>
              <w:jc w:val="center"/>
              <w:rPr>
                <w:rFonts w:ascii="Arial" w:hAnsi="Arial" w:cs="Arial"/>
                <w:sz w:val="20"/>
                <w:szCs w:val="20"/>
              </w:rPr>
            </w:pPr>
            <w:r>
              <w:rPr>
                <w:rFonts w:ascii="Arial" w:hAnsi="Arial" w:cs="Arial"/>
                <w:sz w:val="20"/>
                <w:szCs w:val="20"/>
              </w:rPr>
              <w:t>-</w:t>
            </w:r>
            <w:r w:rsidR="000D1A07">
              <w:rPr>
                <w:rFonts w:ascii="Arial" w:hAnsi="Arial" w:cs="Arial"/>
                <w:sz w:val="20"/>
                <w:szCs w:val="20"/>
              </w:rPr>
              <w:t>0.028</w:t>
            </w:r>
          </w:p>
          <w:p w14:paraId="3B50B22B" w14:textId="4E9C7983" w:rsidR="0013701C" w:rsidRPr="004D2284" w:rsidRDefault="000D1A07" w:rsidP="0013701C">
            <w:pPr>
              <w:jc w:val="center"/>
              <w:rPr>
                <w:rFonts w:ascii="Arial" w:hAnsi="Arial" w:cs="Arial"/>
                <w:sz w:val="20"/>
                <w:szCs w:val="20"/>
              </w:rPr>
            </w:pPr>
            <w:r>
              <w:rPr>
                <w:rFonts w:ascii="Arial" w:hAnsi="Arial" w:cs="Arial"/>
                <w:sz w:val="20"/>
                <w:szCs w:val="20"/>
              </w:rPr>
              <w:t>(0.31</w:t>
            </w:r>
            <w:r w:rsidR="0013701C">
              <w:rPr>
                <w:rFonts w:ascii="Arial" w:hAnsi="Arial" w:cs="Arial"/>
                <w:sz w:val="20"/>
                <w:szCs w:val="20"/>
              </w:rPr>
              <w:t>)</w:t>
            </w:r>
          </w:p>
        </w:tc>
        <w:tc>
          <w:tcPr>
            <w:tcW w:w="0" w:type="auto"/>
            <w:vAlign w:val="center"/>
          </w:tcPr>
          <w:p w14:paraId="19FDC43B" w14:textId="44CC5CF4" w:rsidR="0013701C" w:rsidRDefault="00C20214" w:rsidP="0013701C">
            <w:pPr>
              <w:jc w:val="center"/>
              <w:rPr>
                <w:rFonts w:ascii="Arial" w:hAnsi="Arial" w:cs="Arial"/>
                <w:sz w:val="20"/>
                <w:szCs w:val="20"/>
              </w:rPr>
            </w:pPr>
            <w:r>
              <w:rPr>
                <w:rFonts w:ascii="Arial" w:hAnsi="Arial" w:cs="Arial"/>
                <w:sz w:val="20"/>
                <w:szCs w:val="20"/>
              </w:rPr>
              <w:t>-0.060</w:t>
            </w:r>
          </w:p>
          <w:p w14:paraId="09090F8D" w14:textId="58B38F6D" w:rsidR="0013701C" w:rsidRPr="00C24DED" w:rsidRDefault="00C20214" w:rsidP="0013701C">
            <w:pPr>
              <w:keepNext/>
              <w:keepLines/>
              <w:jc w:val="center"/>
              <w:rPr>
                <w:rFonts w:ascii="Arial" w:hAnsi="Arial" w:cs="Arial"/>
                <w:sz w:val="20"/>
                <w:szCs w:val="20"/>
              </w:rPr>
            </w:pPr>
            <w:r>
              <w:rPr>
                <w:rFonts w:ascii="Arial" w:hAnsi="Arial" w:cs="Arial"/>
                <w:sz w:val="20"/>
                <w:szCs w:val="20"/>
              </w:rPr>
              <w:t>(0.04</w:t>
            </w:r>
            <w:r w:rsidR="0013701C">
              <w:rPr>
                <w:rFonts w:ascii="Arial" w:hAnsi="Arial" w:cs="Arial"/>
                <w:sz w:val="20"/>
                <w:szCs w:val="20"/>
              </w:rPr>
              <w:t>)</w:t>
            </w:r>
          </w:p>
        </w:tc>
        <w:tc>
          <w:tcPr>
            <w:tcW w:w="0" w:type="auto"/>
            <w:shd w:val="clear" w:color="auto" w:fill="auto"/>
            <w:vAlign w:val="center"/>
          </w:tcPr>
          <w:p w14:paraId="1E6AEFDE" w14:textId="3E299BB0" w:rsidR="0013701C" w:rsidRDefault="0013701C" w:rsidP="0013701C">
            <w:pPr>
              <w:jc w:val="center"/>
              <w:rPr>
                <w:rFonts w:ascii="Arial" w:hAnsi="Arial" w:cs="Arial"/>
                <w:sz w:val="20"/>
                <w:szCs w:val="20"/>
              </w:rPr>
            </w:pPr>
            <w:r>
              <w:rPr>
                <w:rFonts w:ascii="Arial" w:hAnsi="Arial" w:cs="Arial"/>
                <w:sz w:val="20"/>
                <w:szCs w:val="20"/>
              </w:rPr>
              <w:t>0.0</w:t>
            </w:r>
            <w:r w:rsidR="00C20214">
              <w:rPr>
                <w:rFonts w:ascii="Arial" w:hAnsi="Arial" w:cs="Arial"/>
                <w:sz w:val="20"/>
                <w:szCs w:val="20"/>
              </w:rPr>
              <w:t>55</w:t>
            </w:r>
          </w:p>
          <w:p w14:paraId="3EB5A7D2" w14:textId="7786BA1D" w:rsidR="0013701C" w:rsidRPr="00C24DED" w:rsidRDefault="00C20214" w:rsidP="0013701C">
            <w:pPr>
              <w:keepNext/>
              <w:keepLines/>
              <w:jc w:val="center"/>
              <w:rPr>
                <w:rFonts w:ascii="Arial" w:hAnsi="Arial" w:cs="Arial"/>
                <w:sz w:val="20"/>
                <w:szCs w:val="20"/>
              </w:rPr>
            </w:pPr>
            <w:r>
              <w:rPr>
                <w:rFonts w:ascii="Arial" w:hAnsi="Arial" w:cs="Arial"/>
                <w:sz w:val="20"/>
                <w:szCs w:val="20"/>
              </w:rPr>
              <w:t>(0.01</w:t>
            </w:r>
            <w:r w:rsidR="0013701C">
              <w:rPr>
                <w:rFonts w:ascii="Arial" w:hAnsi="Arial" w:cs="Arial"/>
                <w:sz w:val="20"/>
                <w:szCs w:val="20"/>
              </w:rPr>
              <w:t>)</w:t>
            </w:r>
          </w:p>
        </w:tc>
      </w:tr>
      <w:tr w:rsidR="0013701C" w14:paraId="2BEB82F9" w14:textId="77777777" w:rsidTr="00A818C7">
        <w:trPr>
          <w:jc w:val="center"/>
        </w:trPr>
        <w:tc>
          <w:tcPr>
            <w:tcW w:w="0" w:type="auto"/>
            <w:shd w:val="clear" w:color="auto" w:fill="auto"/>
            <w:vAlign w:val="center"/>
          </w:tcPr>
          <w:p w14:paraId="791B7F03" w14:textId="79519107" w:rsidR="0013701C" w:rsidRPr="00AA745A" w:rsidRDefault="0013701C" w:rsidP="0013701C">
            <w:pPr>
              <w:keepNext/>
              <w:keepLines/>
              <w:rPr>
                <w:rFonts w:ascii="Arial" w:hAnsi="Arial" w:cs="Arial"/>
                <w:sz w:val="20"/>
                <w:szCs w:val="20"/>
              </w:rPr>
            </w:pPr>
            <w:r w:rsidRPr="00AA745A">
              <w:rPr>
                <w:rFonts w:ascii="Arial" w:hAnsi="Arial" w:cs="Arial"/>
                <w:sz w:val="20"/>
                <w:szCs w:val="20"/>
              </w:rPr>
              <w:t>15</w:t>
            </w:r>
          </w:p>
        </w:tc>
        <w:tc>
          <w:tcPr>
            <w:tcW w:w="0" w:type="auto"/>
            <w:shd w:val="clear" w:color="auto" w:fill="auto"/>
            <w:vAlign w:val="center"/>
          </w:tcPr>
          <w:p w14:paraId="14399991" w14:textId="423145CB" w:rsidR="0013701C" w:rsidRDefault="0013701C" w:rsidP="0013701C">
            <w:pPr>
              <w:jc w:val="center"/>
              <w:rPr>
                <w:rFonts w:ascii="Arial" w:hAnsi="Arial" w:cs="Arial"/>
                <w:sz w:val="20"/>
                <w:szCs w:val="20"/>
              </w:rPr>
            </w:pPr>
            <w:r>
              <w:rPr>
                <w:rFonts w:ascii="Arial" w:hAnsi="Arial" w:cs="Arial"/>
                <w:sz w:val="20"/>
                <w:szCs w:val="20"/>
              </w:rPr>
              <w:t>-0.010</w:t>
            </w:r>
          </w:p>
          <w:p w14:paraId="11E532E4" w14:textId="395D8E4E" w:rsidR="0013701C" w:rsidRPr="00C24DED" w:rsidRDefault="0013701C" w:rsidP="0013701C">
            <w:pPr>
              <w:jc w:val="center"/>
              <w:rPr>
                <w:rFonts w:ascii="Arial" w:hAnsi="Arial" w:cs="Arial"/>
                <w:sz w:val="20"/>
                <w:szCs w:val="20"/>
              </w:rPr>
            </w:pPr>
            <w:r>
              <w:rPr>
                <w:rFonts w:ascii="Arial" w:hAnsi="Arial" w:cs="Arial"/>
                <w:sz w:val="20"/>
                <w:szCs w:val="20"/>
              </w:rPr>
              <w:t>(0.53)</w:t>
            </w:r>
          </w:p>
        </w:tc>
        <w:tc>
          <w:tcPr>
            <w:tcW w:w="0" w:type="auto"/>
            <w:vAlign w:val="center"/>
          </w:tcPr>
          <w:p w14:paraId="76383986" w14:textId="368EB717" w:rsidR="0013701C" w:rsidRDefault="0013701C" w:rsidP="0013701C">
            <w:pPr>
              <w:jc w:val="center"/>
              <w:rPr>
                <w:rFonts w:ascii="Arial" w:hAnsi="Arial" w:cs="Arial"/>
                <w:sz w:val="20"/>
                <w:szCs w:val="20"/>
              </w:rPr>
            </w:pPr>
            <w:r>
              <w:rPr>
                <w:rFonts w:ascii="Arial" w:hAnsi="Arial" w:cs="Arial"/>
                <w:sz w:val="20"/>
                <w:szCs w:val="20"/>
              </w:rPr>
              <w:t>0.003</w:t>
            </w:r>
          </w:p>
          <w:p w14:paraId="1358335D" w14:textId="17765A94" w:rsidR="0013701C" w:rsidRDefault="0013701C" w:rsidP="0013701C">
            <w:pPr>
              <w:jc w:val="center"/>
              <w:rPr>
                <w:rFonts w:ascii="Arial" w:hAnsi="Arial" w:cs="Arial"/>
                <w:sz w:val="20"/>
                <w:szCs w:val="20"/>
              </w:rPr>
            </w:pPr>
            <w:r>
              <w:rPr>
                <w:rFonts w:ascii="Arial" w:hAnsi="Arial" w:cs="Arial"/>
                <w:sz w:val="20"/>
                <w:szCs w:val="20"/>
              </w:rPr>
              <w:t>(0.86)</w:t>
            </w:r>
          </w:p>
        </w:tc>
        <w:tc>
          <w:tcPr>
            <w:tcW w:w="0" w:type="auto"/>
            <w:shd w:val="clear" w:color="auto" w:fill="auto"/>
            <w:vAlign w:val="center"/>
          </w:tcPr>
          <w:p w14:paraId="376377C9" w14:textId="4DA0FA87" w:rsidR="0013701C" w:rsidRDefault="000D1A07" w:rsidP="0013701C">
            <w:pPr>
              <w:jc w:val="center"/>
              <w:rPr>
                <w:rFonts w:ascii="Arial" w:hAnsi="Arial" w:cs="Arial"/>
                <w:sz w:val="20"/>
                <w:szCs w:val="20"/>
              </w:rPr>
            </w:pPr>
            <w:r>
              <w:rPr>
                <w:rFonts w:ascii="Arial" w:hAnsi="Arial" w:cs="Arial"/>
                <w:sz w:val="20"/>
                <w:szCs w:val="20"/>
              </w:rPr>
              <w:t>-0.040</w:t>
            </w:r>
          </w:p>
          <w:p w14:paraId="02027DBA" w14:textId="337CE29E" w:rsidR="0013701C" w:rsidRPr="004D2284" w:rsidRDefault="000D1A07" w:rsidP="0013701C">
            <w:pPr>
              <w:jc w:val="center"/>
              <w:rPr>
                <w:rFonts w:ascii="Arial" w:hAnsi="Arial" w:cs="Arial"/>
                <w:sz w:val="20"/>
                <w:szCs w:val="20"/>
              </w:rPr>
            </w:pPr>
            <w:r>
              <w:rPr>
                <w:rFonts w:ascii="Arial" w:hAnsi="Arial" w:cs="Arial"/>
                <w:sz w:val="20"/>
                <w:szCs w:val="20"/>
              </w:rPr>
              <w:t>(0.18</w:t>
            </w:r>
            <w:r w:rsidR="0013701C">
              <w:rPr>
                <w:rFonts w:ascii="Arial" w:hAnsi="Arial" w:cs="Arial"/>
                <w:sz w:val="20"/>
                <w:szCs w:val="20"/>
              </w:rPr>
              <w:t>)</w:t>
            </w:r>
          </w:p>
        </w:tc>
        <w:tc>
          <w:tcPr>
            <w:tcW w:w="0" w:type="auto"/>
            <w:vAlign w:val="center"/>
          </w:tcPr>
          <w:p w14:paraId="26DE4F5D" w14:textId="313CE8FB" w:rsidR="0013701C" w:rsidRDefault="00C20214" w:rsidP="0013701C">
            <w:pPr>
              <w:jc w:val="center"/>
              <w:rPr>
                <w:rFonts w:ascii="Arial" w:hAnsi="Arial" w:cs="Arial"/>
                <w:sz w:val="20"/>
                <w:szCs w:val="20"/>
              </w:rPr>
            </w:pPr>
            <w:r>
              <w:rPr>
                <w:rFonts w:ascii="Arial" w:hAnsi="Arial" w:cs="Arial"/>
                <w:sz w:val="20"/>
                <w:szCs w:val="20"/>
              </w:rPr>
              <w:t>-0.065</w:t>
            </w:r>
          </w:p>
          <w:p w14:paraId="76ABDD97" w14:textId="2F80B960" w:rsidR="0013701C" w:rsidRPr="00C24DED" w:rsidRDefault="00C20214" w:rsidP="0013701C">
            <w:pPr>
              <w:keepNext/>
              <w:keepLines/>
              <w:jc w:val="center"/>
              <w:rPr>
                <w:rFonts w:ascii="Arial" w:hAnsi="Arial" w:cs="Arial"/>
                <w:sz w:val="20"/>
                <w:szCs w:val="20"/>
              </w:rPr>
            </w:pPr>
            <w:r>
              <w:rPr>
                <w:rFonts w:ascii="Arial" w:hAnsi="Arial" w:cs="Arial"/>
                <w:sz w:val="20"/>
                <w:szCs w:val="20"/>
              </w:rPr>
              <w:t>(0.02</w:t>
            </w:r>
            <w:r w:rsidR="0013701C">
              <w:rPr>
                <w:rFonts w:ascii="Arial" w:hAnsi="Arial" w:cs="Arial"/>
                <w:sz w:val="20"/>
                <w:szCs w:val="20"/>
              </w:rPr>
              <w:t>)</w:t>
            </w:r>
          </w:p>
        </w:tc>
        <w:tc>
          <w:tcPr>
            <w:tcW w:w="0" w:type="auto"/>
            <w:shd w:val="clear" w:color="auto" w:fill="auto"/>
            <w:vAlign w:val="center"/>
          </w:tcPr>
          <w:p w14:paraId="74170F9F" w14:textId="77C33436" w:rsidR="0013701C" w:rsidRDefault="0013701C" w:rsidP="0013701C">
            <w:pPr>
              <w:jc w:val="center"/>
              <w:rPr>
                <w:rFonts w:ascii="Arial" w:hAnsi="Arial" w:cs="Arial"/>
                <w:sz w:val="20"/>
                <w:szCs w:val="20"/>
              </w:rPr>
            </w:pPr>
            <w:r>
              <w:rPr>
                <w:rFonts w:ascii="Arial" w:hAnsi="Arial" w:cs="Arial"/>
                <w:sz w:val="20"/>
                <w:szCs w:val="20"/>
              </w:rPr>
              <w:t>0.0</w:t>
            </w:r>
            <w:r w:rsidR="00C20214">
              <w:rPr>
                <w:rFonts w:ascii="Arial" w:hAnsi="Arial" w:cs="Arial"/>
                <w:sz w:val="20"/>
                <w:szCs w:val="20"/>
              </w:rPr>
              <w:t>62</w:t>
            </w:r>
          </w:p>
          <w:p w14:paraId="2A9C1864" w14:textId="0482DD7E" w:rsidR="0013701C" w:rsidRPr="00C24DED" w:rsidRDefault="00C20214" w:rsidP="0013701C">
            <w:pPr>
              <w:keepNext/>
              <w:keepLines/>
              <w:jc w:val="center"/>
              <w:rPr>
                <w:rFonts w:ascii="Arial" w:hAnsi="Arial" w:cs="Arial"/>
                <w:sz w:val="20"/>
                <w:szCs w:val="20"/>
              </w:rPr>
            </w:pPr>
            <w:r>
              <w:rPr>
                <w:rFonts w:ascii="Arial" w:hAnsi="Arial" w:cs="Arial"/>
                <w:sz w:val="20"/>
                <w:szCs w:val="20"/>
              </w:rPr>
              <w:t>(0.01</w:t>
            </w:r>
            <w:r w:rsidR="0013701C">
              <w:rPr>
                <w:rFonts w:ascii="Arial" w:hAnsi="Arial" w:cs="Arial"/>
                <w:sz w:val="20"/>
                <w:szCs w:val="20"/>
              </w:rPr>
              <w:t>)</w:t>
            </w:r>
          </w:p>
        </w:tc>
      </w:tr>
      <w:tr w:rsidR="0013701C" w14:paraId="241ECB65" w14:textId="77777777" w:rsidTr="00A818C7">
        <w:trPr>
          <w:jc w:val="center"/>
        </w:trPr>
        <w:tc>
          <w:tcPr>
            <w:tcW w:w="0" w:type="auto"/>
            <w:shd w:val="clear" w:color="auto" w:fill="auto"/>
            <w:vAlign w:val="center"/>
          </w:tcPr>
          <w:p w14:paraId="050C47C1" w14:textId="00C5136A" w:rsidR="0013701C" w:rsidRPr="00AA745A" w:rsidRDefault="0013701C" w:rsidP="0013701C">
            <w:pPr>
              <w:keepNext/>
              <w:keepLines/>
              <w:rPr>
                <w:rFonts w:ascii="Arial" w:hAnsi="Arial" w:cs="Arial"/>
                <w:sz w:val="20"/>
                <w:szCs w:val="20"/>
              </w:rPr>
            </w:pPr>
            <w:r w:rsidRPr="00AA745A">
              <w:rPr>
                <w:rFonts w:ascii="Arial" w:hAnsi="Arial" w:cs="Arial"/>
                <w:sz w:val="20"/>
                <w:szCs w:val="20"/>
              </w:rPr>
              <w:t>16</w:t>
            </w:r>
          </w:p>
        </w:tc>
        <w:tc>
          <w:tcPr>
            <w:tcW w:w="0" w:type="auto"/>
            <w:shd w:val="clear" w:color="auto" w:fill="auto"/>
            <w:vAlign w:val="center"/>
          </w:tcPr>
          <w:p w14:paraId="7D51CADC" w14:textId="227CD5C9" w:rsidR="0013701C" w:rsidRDefault="0013701C" w:rsidP="0013701C">
            <w:pPr>
              <w:jc w:val="center"/>
              <w:rPr>
                <w:rFonts w:ascii="Arial" w:hAnsi="Arial" w:cs="Arial"/>
                <w:sz w:val="20"/>
                <w:szCs w:val="20"/>
              </w:rPr>
            </w:pPr>
            <w:r>
              <w:rPr>
                <w:rFonts w:ascii="Arial" w:hAnsi="Arial" w:cs="Arial"/>
                <w:sz w:val="20"/>
                <w:szCs w:val="20"/>
              </w:rPr>
              <w:t>-0.006</w:t>
            </w:r>
          </w:p>
          <w:p w14:paraId="2483D034" w14:textId="7F298945" w:rsidR="0013701C" w:rsidRPr="00C24DED" w:rsidRDefault="0013701C" w:rsidP="0013701C">
            <w:pPr>
              <w:jc w:val="center"/>
              <w:rPr>
                <w:rFonts w:ascii="Arial" w:hAnsi="Arial" w:cs="Arial"/>
                <w:sz w:val="20"/>
                <w:szCs w:val="20"/>
              </w:rPr>
            </w:pPr>
            <w:r>
              <w:rPr>
                <w:rFonts w:ascii="Arial" w:hAnsi="Arial" w:cs="Arial"/>
                <w:sz w:val="20"/>
                <w:szCs w:val="20"/>
              </w:rPr>
              <w:t>(0.69)</w:t>
            </w:r>
          </w:p>
        </w:tc>
        <w:tc>
          <w:tcPr>
            <w:tcW w:w="0" w:type="auto"/>
            <w:vAlign w:val="center"/>
          </w:tcPr>
          <w:p w14:paraId="3670E25F" w14:textId="564FBB41" w:rsidR="0013701C" w:rsidRDefault="0013701C" w:rsidP="0013701C">
            <w:pPr>
              <w:jc w:val="center"/>
              <w:rPr>
                <w:rFonts w:ascii="Arial" w:hAnsi="Arial" w:cs="Arial"/>
                <w:sz w:val="20"/>
                <w:szCs w:val="20"/>
              </w:rPr>
            </w:pPr>
            <w:r>
              <w:rPr>
                <w:rFonts w:ascii="Arial" w:hAnsi="Arial" w:cs="Arial"/>
                <w:sz w:val="20"/>
                <w:szCs w:val="20"/>
              </w:rPr>
              <w:t>0.031</w:t>
            </w:r>
          </w:p>
          <w:p w14:paraId="43FF70F3" w14:textId="24124C5B" w:rsidR="0013701C" w:rsidRDefault="0013701C" w:rsidP="0013701C">
            <w:pPr>
              <w:jc w:val="center"/>
              <w:rPr>
                <w:rFonts w:ascii="Arial" w:hAnsi="Arial" w:cs="Arial"/>
                <w:sz w:val="20"/>
                <w:szCs w:val="20"/>
              </w:rPr>
            </w:pPr>
            <w:r>
              <w:rPr>
                <w:rFonts w:ascii="Arial" w:hAnsi="Arial" w:cs="Arial"/>
                <w:sz w:val="20"/>
                <w:szCs w:val="20"/>
              </w:rPr>
              <w:t>(0.10)</w:t>
            </w:r>
          </w:p>
        </w:tc>
        <w:tc>
          <w:tcPr>
            <w:tcW w:w="0" w:type="auto"/>
            <w:shd w:val="clear" w:color="auto" w:fill="auto"/>
            <w:vAlign w:val="center"/>
          </w:tcPr>
          <w:p w14:paraId="23C41E1B" w14:textId="1E051899" w:rsidR="0013701C" w:rsidRDefault="000D1A07" w:rsidP="0013701C">
            <w:pPr>
              <w:jc w:val="center"/>
              <w:rPr>
                <w:rFonts w:ascii="Arial" w:hAnsi="Arial" w:cs="Arial"/>
                <w:sz w:val="20"/>
                <w:szCs w:val="20"/>
              </w:rPr>
            </w:pPr>
            <w:r>
              <w:rPr>
                <w:rFonts w:ascii="Arial" w:hAnsi="Arial" w:cs="Arial"/>
                <w:sz w:val="20"/>
                <w:szCs w:val="20"/>
              </w:rPr>
              <w:t>-0.039</w:t>
            </w:r>
          </w:p>
          <w:p w14:paraId="2DEC3D29" w14:textId="7FA98E95" w:rsidR="0013701C" w:rsidRPr="004D2284" w:rsidRDefault="000D1A07" w:rsidP="0013701C">
            <w:pPr>
              <w:jc w:val="center"/>
              <w:rPr>
                <w:rFonts w:ascii="Arial" w:hAnsi="Arial" w:cs="Arial"/>
                <w:sz w:val="20"/>
                <w:szCs w:val="20"/>
              </w:rPr>
            </w:pPr>
            <w:r>
              <w:rPr>
                <w:rFonts w:ascii="Arial" w:hAnsi="Arial" w:cs="Arial"/>
                <w:sz w:val="20"/>
                <w:szCs w:val="20"/>
              </w:rPr>
              <w:t>(0.18</w:t>
            </w:r>
            <w:r w:rsidR="0013701C">
              <w:rPr>
                <w:rFonts w:ascii="Arial" w:hAnsi="Arial" w:cs="Arial"/>
                <w:sz w:val="20"/>
                <w:szCs w:val="20"/>
              </w:rPr>
              <w:t>)</w:t>
            </w:r>
          </w:p>
        </w:tc>
        <w:tc>
          <w:tcPr>
            <w:tcW w:w="0" w:type="auto"/>
            <w:vAlign w:val="center"/>
          </w:tcPr>
          <w:p w14:paraId="01A66E0C" w14:textId="79A72183" w:rsidR="0013701C" w:rsidRDefault="00C20214" w:rsidP="0013701C">
            <w:pPr>
              <w:jc w:val="center"/>
              <w:rPr>
                <w:rFonts w:ascii="Arial" w:hAnsi="Arial" w:cs="Arial"/>
                <w:sz w:val="20"/>
                <w:szCs w:val="20"/>
              </w:rPr>
            </w:pPr>
            <w:r>
              <w:rPr>
                <w:rFonts w:ascii="Arial" w:hAnsi="Arial" w:cs="Arial"/>
                <w:sz w:val="20"/>
                <w:szCs w:val="20"/>
              </w:rPr>
              <w:t>0.026</w:t>
            </w:r>
          </w:p>
          <w:p w14:paraId="32B5568F" w14:textId="716F08C9" w:rsidR="0013701C" w:rsidRPr="00C24DED" w:rsidRDefault="0013701C" w:rsidP="00C20214">
            <w:pPr>
              <w:keepNext/>
              <w:keepLines/>
              <w:jc w:val="center"/>
              <w:rPr>
                <w:rFonts w:ascii="Arial" w:hAnsi="Arial" w:cs="Arial"/>
                <w:sz w:val="20"/>
                <w:szCs w:val="20"/>
              </w:rPr>
            </w:pPr>
            <w:r>
              <w:rPr>
                <w:rFonts w:ascii="Arial" w:hAnsi="Arial" w:cs="Arial"/>
                <w:sz w:val="20"/>
                <w:szCs w:val="20"/>
              </w:rPr>
              <w:t>(0.</w:t>
            </w:r>
            <w:r w:rsidR="00C20214">
              <w:rPr>
                <w:rFonts w:ascii="Arial" w:hAnsi="Arial" w:cs="Arial"/>
                <w:sz w:val="20"/>
                <w:szCs w:val="20"/>
              </w:rPr>
              <w:t>35</w:t>
            </w:r>
            <w:r>
              <w:rPr>
                <w:rFonts w:ascii="Arial" w:hAnsi="Arial" w:cs="Arial"/>
                <w:sz w:val="20"/>
                <w:szCs w:val="20"/>
              </w:rPr>
              <w:t>)</w:t>
            </w:r>
          </w:p>
        </w:tc>
        <w:tc>
          <w:tcPr>
            <w:tcW w:w="0" w:type="auto"/>
            <w:shd w:val="clear" w:color="auto" w:fill="auto"/>
            <w:vAlign w:val="center"/>
          </w:tcPr>
          <w:p w14:paraId="48F8E72C" w14:textId="5A7228B1" w:rsidR="0013701C" w:rsidRDefault="0013701C" w:rsidP="0013701C">
            <w:pPr>
              <w:jc w:val="center"/>
              <w:rPr>
                <w:rFonts w:ascii="Arial" w:hAnsi="Arial" w:cs="Arial"/>
                <w:sz w:val="20"/>
                <w:szCs w:val="20"/>
              </w:rPr>
            </w:pPr>
            <w:r>
              <w:rPr>
                <w:rFonts w:ascii="Arial" w:hAnsi="Arial" w:cs="Arial"/>
                <w:sz w:val="20"/>
                <w:szCs w:val="20"/>
              </w:rPr>
              <w:t>0.0</w:t>
            </w:r>
            <w:r w:rsidR="00C20214">
              <w:rPr>
                <w:rFonts w:ascii="Arial" w:hAnsi="Arial" w:cs="Arial"/>
                <w:sz w:val="20"/>
                <w:szCs w:val="20"/>
              </w:rPr>
              <w:t>45</w:t>
            </w:r>
          </w:p>
          <w:p w14:paraId="39265890" w14:textId="7686DF31" w:rsidR="0013701C" w:rsidRPr="00C24DED" w:rsidRDefault="00C20214" w:rsidP="0013701C">
            <w:pPr>
              <w:keepNext/>
              <w:keepLines/>
              <w:jc w:val="center"/>
              <w:rPr>
                <w:rFonts w:ascii="Arial" w:hAnsi="Arial" w:cs="Arial"/>
                <w:sz w:val="20"/>
                <w:szCs w:val="20"/>
              </w:rPr>
            </w:pPr>
            <w:r>
              <w:rPr>
                <w:rFonts w:ascii="Arial" w:hAnsi="Arial" w:cs="Arial"/>
                <w:sz w:val="20"/>
                <w:szCs w:val="20"/>
              </w:rPr>
              <w:t>(0.04</w:t>
            </w:r>
            <w:r w:rsidR="0013701C">
              <w:rPr>
                <w:rFonts w:ascii="Arial" w:hAnsi="Arial" w:cs="Arial"/>
                <w:sz w:val="20"/>
                <w:szCs w:val="20"/>
              </w:rPr>
              <w:t>)</w:t>
            </w:r>
          </w:p>
        </w:tc>
      </w:tr>
      <w:tr w:rsidR="0013701C" w14:paraId="5B56915D" w14:textId="77777777" w:rsidTr="00A818C7">
        <w:trPr>
          <w:jc w:val="center"/>
        </w:trPr>
        <w:tc>
          <w:tcPr>
            <w:tcW w:w="0" w:type="auto"/>
            <w:shd w:val="clear" w:color="auto" w:fill="auto"/>
            <w:vAlign w:val="center"/>
          </w:tcPr>
          <w:p w14:paraId="4C6DA07B" w14:textId="35C3B88B" w:rsidR="0013701C" w:rsidRPr="00AA745A" w:rsidRDefault="0013701C" w:rsidP="0013701C">
            <w:pPr>
              <w:keepNext/>
              <w:keepLines/>
              <w:rPr>
                <w:rFonts w:ascii="Arial" w:hAnsi="Arial" w:cs="Arial"/>
                <w:sz w:val="20"/>
                <w:szCs w:val="20"/>
              </w:rPr>
            </w:pPr>
            <w:r w:rsidRPr="00AA745A">
              <w:rPr>
                <w:rFonts w:ascii="Arial" w:hAnsi="Arial" w:cs="Arial"/>
                <w:sz w:val="20"/>
                <w:szCs w:val="20"/>
              </w:rPr>
              <w:t>17</w:t>
            </w:r>
          </w:p>
        </w:tc>
        <w:tc>
          <w:tcPr>
            <w:tcW w:w="0" w:type="auto"/>
            <w:shd w:val="clear" w:color="auto" w:fill="auto"/>
            <w:vAlign w:val="center"/>
          </w:tcPr>
          <w:p w14:paraId="5C98CD52" w14:textId="1F017A10" w:rsidR="0013701C" w:rsidRDefault="0013701C" w:rsidP="0013701C">
            <w:pPr>
              <w:jc w:val="center"/>
              <w:rPr>
                <w:rFonts w:ascii="Arial" w:hAnsi="Arial" w:cs="Arial"/>
                <w:sz w:val="20"/>
                <w:szCs w:val="20"/>
              </w:rPr>
            </w:pPr>
            <w:r>
              <w:rPr>
                <w:rFonts w:ascii="Arial" w:hAnsi="Arial" w:cs="Arial"/>
                <w:sz w:val="20"/>
                <w:szCs w:val="20"/>
              </w:rPr>
              <w:t>-0.011</w:t>
            </w:r>
          </w:p>
          <w:p w14:paraId="6C9CE020" w14:textId="2325C051" w:rsidR="0013701C" w:rsidRPr="00C24DED" w:rsidRDefault="0013701C" w:rsidP="0013701C">
            <w:pPr>
              <w:jc w:val="center"/>
              <w:rPr>
                <w:rFonts w:ascii="Arial" w:hAnsi="Arial" w:cs="Arial"/>
                <w:sz w:val="20"/>
                <w:szCs w:val="20"/>
              </w:rPr>
            </w:pPr>
            <w:r>
              <w:rPr>
                <w:rFonts w:ascii="Arial" w:hAnsi="Arial" w:cs="Arial"/>
                <w:sz w:val="20"/>
                <w:szCs w:val="20"/>
              </w:rPr>
              <w:t>(0.48)</w:t>
            </w:r>
          </w:p>
        </w:tc>
        <w:tc>
          <w:tcPr>
            <w:tcW w:w="0" w:type="auto"/>
            <w:vAlign w:val="center"/>
          </w:tcPr>
          <w:p w14:paraId="2C96DF88" w14:textId="620EFA49" w:rsidR="0013701C" w:rsidRDefault="0013701C" w:rsidP="0013701C">
            <w:pPr>
              <w:jc w:val="center"/>
              <w:rPr>
                <w:rFonts w:ascii="Arial" w:hAnsi="Arial" w:cs="Arial"/>
                <w:sz w:val="20"/>
                <w:szCs w:val="20"/>
              </w:rPr>
            </w:pPr>
            <w:r>
              <w:rPr>
                <w:rFonts w:ascii="Arial" w:hAnsi="Arial" w:cs="Arial"/>
                <w:sz w:val="20"/>
                <w:szCs w:val="20"/>
              </w:rPr>
              <w:t>0.027</w:t>
            </w:r>
          </w:p>
          <w:p w14:paraId="561A0B63" w14:textId="10F4BA39" w:rsidR="0013701C" w:rsidRDefault="0013701C" w:rsidP="0013701C">
            <w:pPr>
              <w:jc w:val="center"/>
              <w:rPr>
                <w:rFonts w:ascii="Arial" w:hAnsi="Arial" w:cs="Arial"/>
                <w:sz w:val="20"/>
                <w:szCs w:val="20"/>
              </w:rPr>
            </w:pPr>
            <w:r>
              <w:rPr>
                <w:rFonts w:ascii="Arial" w:hAnsi="Arial" w:cs="Arial"/>
                <w:sz w:val="20"/>
                <w:szCs w:val="20"/>
              </w:rPr>
              <w:t>(0.16)</w:t>
            </w:r>
          </w:p>
        </w:tc>
        <w:tc>
          <w:tcPr>
            <w:tcW w:w="0" w:type="auto"/>
            <w:shd w:val="clear" w:color="auto" w:fill="auto"/>
            <w:vAlign w:val="center"/>
          </w:tcPr>
          <w:p w14:paraId="709F8617" w14:textId="5FCA66C1" w:rsidR="0013701C" w:rsidRDefault="000D1A07" w:rsidP="0013701C">
            <w:pPr>
              <w:jc w:val="center"/>
              <w:rPr>
                <w:rFonts w:ascii="Arial" w:hAnsi="Arial" w:cs="Arial"/>
                <w:sz w:val="20"/>
                <w:szCs w:val="20"/>
              </w:rPr>
            </w:pPr>
            <w:r>
              <w:rPr>
                <w:rFonts w:ascii="Arial" w:hAnsi="Arial" w:cs="Arial"/>
                <w:sz w:val="20"/>
                <w:szCs w:val="20"/>
              </w:rPr>
              <w:t>-</w:t>
            </w:r>
            <w:r w:rsidR="002607FF">
              <w:rPr>
                <w:rFonts w:ascii="Arial" w:hAnsi="Arial" w:cs="Arial"/>
                <w:sz w:val="20"/>
                <w:szCs w:val="20"/>
              </w:rPr>
              <w:t>0.0</w:t>
            </w:r>
            <w:r>
              <w:rPr>
                <w:rFonts w:ascii="Arial" w:hAnsi="Arial" w:cs="Arial"/>
                <w:sz w:val="20"/>
                <w:szCs w:val="20"/>
              </w:rPr>
              <w:t>22</w:t>
            </w:r>
          </w:p>
          <w:p w14:paraId="488E6C99" w14:textId="6A49E402" w:rsidR="0013701C" w:rsidRPr="004D2284" w:rsidRDefault="000D1A07" w:rsidP="0013701C">
            <w:pPr>
              <w:jc w:val="center"/>
              <w:rPr>
                <w:rFonts w:ascii="Arial" w:hAnsi="Arial" w:cs="Arial"/>
                <w:sz w:val="20"/>
                <w:szCs w:val="20"/>
              </w:rPr>
            </w:pPr>
            <w:r>
              <w:rPr>
                <w:rFonts w:ascii="Arial" w:hAnsi="Arial" w:cs="Arial"/>
                <w:sz w:val="20"/>
                <w:szCs w:val="20"/>
              </w:rPr>
              <w:t>(0.41</w:t>
            </w:r>
            <w:r w:rsidR="0013701C">
              <w:rPr>
                <w:rFonts w:ascii="Arial" w:hAnsi="Arial" w:cs="Arial"/>
                <w:sz w:val="20"/>
                <w:szCs w:val="20"/>
              </w:rPr>
              <w:t>)</w:t>
            </w:r>
          </w:p>
        </w:tc>
        <w:tc>
          <w:tcPr>
            <w:tcW w:w="0" w:type="auto"/>
            <w:vAlign w:val="center"/>
          </w:tcPr>
          <w:p w14:paraId="5019C7DA" w14:textId="5E5B4AE3" w:rsidR="0013701C" w:rsidRDefault="00C20214" w:rsidP="0013701C">
            <w:pPr>
              <w:jc w:val="center"/>
              <w:rPr>
                <w:rFonts w:ascii="Arial" w:hAnsi="Arial" w:cs="Arial"/>
                <w:sz w:val="20"/>
                <w:szCs w:val="20"/>
              </w:rPr>
            </w:pPr>
            <w:r>
              <w:rPr>
                <w:rFonts w:ascii="Arial" w:hAnsi="Arial" w:cs="Arial"/>
                <w:sz w:val="20"/>
                <w:szCs w:val="20"/>
              </w:rPr>
              <w:t>0.072</w:t>
            </w:r>
          </w:p>
          <w:p w14:paraId="67D0CA82" w14:textId="24DA7A0C" w:rsidR="0013701C" w:rsidRPr="00C24DED" w:rsidRDefault="00C20214" w:rsidP="0013701C">
            <w:pPr>
              <w:keepNext/>
              <w:keepLines/>
              <w:jc w:val="center"/>
              <w:rPr>
                <w:rFonts w:ascii="Arial" w:hAnsi="Arial" w:cs="Arial"/>
                <w:sz w:val="20"/>
                <w:szCs w:val="20"/>
              </w:rPr>
            </w:pPr>
            <w:r>
              <w:rPr>
                <w:rFonts w:ascii="Arial" w:hAnsi="Arial" w:cs="Arial"/>
                <w:sz w:val="20"/>
                <w:szCs w:val="20"/>
              </w:rPr>
              <w:t>(0.01</w:t>
            </w:r>
            <w:r w:rsidR="0013701C">
              <w:rPr>
                <w:rFonts w:ascii="Arial" w:hAnsi="Arial" w:cs="Arial"/>
                <w:sz w:val="20"/>
                <w:szCs w:val="20"/>
              </w:rPr>
              <w:t>)</w:t>
            </w:r>
          </w:p>
        </w:tc>
        <w:tc>
          <w:tcPr>
            <w:tcW w:w="0" w:type="auto"/>
            <w:shd w:val="clear" w:color="auto" w:fill="auto"/>
            <w:vAlign w:val="center"/>
          </w:tcPr>
          <w:p w14:paraId="39EF885A" w14:textId="35467D65" w:rsidR="0013701C" w:rsidRDefault="00C20214" w:rsidP="0013701C">
            <w:pPr>
              <w:jc w:val="center"/>
              <w:rPr>
                <w:rFonts w:ascii="Arial" w:hAnsi="Arial" w:cs="Arial"/>
                <w:sz w:val="20"/>
                <w:szCs w:val="20"/>
              </w:rPr>
            </w:pPr>
            <w:r>
              <w:rPr>
                <w:rFonts w:ascii="Arial" w:hAnsi="Arial" w:cs="Arial"/>
                <w:sz w:val="20"/>
                <w:szCs w:val="20"/>
              </w:rPr>
              <w:t>-</w:t>
            </w:r>
            <w:r w:rsidR="0013701C">
              <w:rPr>
                <w:rFonts w:ascii="Arial" w:hAnsi="Arial" w:cs="Arial"/>
                <w:sz w:val="20"/>
                <w:szCs w:val="20"/>
              </w:rPr>
              <w:t>0.0</w:t>
            </w:r>
            <w:r>
              <w:rPr>
                <w:rFonts w:ascii="Arial" w:hAnsi="Arial" w:cs="Arial"/>
                <w:sz w:val="20"/>
                <w:szCs w:val="20"/>
              </w:rPr>
              <w:t>25</w:t>
            </w:r>
          </w:p>
          <w:p w14:paraId="76944AA8" w14:textId="3DF2FCF7" w:rsidR="0013701C" w:rsidRPr="00C24DED" w:rsidRDefault="00C20214" w:rsidP="0013701C">
            <w:pPr>
              <w:keepNext/>
              <w:keepLines/>
              <w:jc w:val="center"/>
              <w:rPr>
                <w:rFonts w:ascii="Arial" w:hAnsi="Arial" w:cs="Arial"/>
                <w:sz w:val="20"/>
                <w:szCs w:val="20"/>
              </w:rPr>
            </w:pPr>
            <w:r>
              <w:rPr>
                <w:rFonts w:ascii="Arial" w:hAnsi="Arial" w:cs="Arial"/>
                <w:sz w:val="20"/>
                <w:szCs w:val="20"/>
              </w:rPr>
              <w:t>(0.27</w:t>
            </w:r>
            <w:r w:rsidR="0013701C">
              <w:rPr>
                <w:rFonts w:ascii="Arial" w:hAnsi="Arial" w:cs="Arial"/>
                <w:sz w:val="20"/>
                <w:szCs w:val="20"/>
              </w:rPr>
              <w:t>)</w:t>
            </w:r>
          </w:p>
        </w:tc>
      </w:tr>
      <w:tr w:rsidR="0013701C" w14:paraId="2ED3B9D1" w14:textId="77777777" w:rsidTr="00A818C7">
        <w:trPr>
          <w:jc w:val="center"/>
        </w:trPr>
        <w:tc>
          <w:tcPr>
            <w:tcW w:w="0" w:type="auto"/>
            <w:shd w:val="clear" w:color="auto" w:fill="auto"/>
            <w:vAlign w:val="center"/>
          </w:tcPr>
          <w:p w14:paraId="23138AB5" w14:textId="32E80223" w:rsidR="0013701C" w:rsidRPr="00AA745A" w:rsidRDefault="0013701C" w:rsidP="0013701C">
            <w:pPr>
              <w:keepNext/>
              <w:keepLines/>
              <w:rPr>
                <w:rFonts w:ascii="Arial" w:hAnsi="Arial" w:cs="Arial"/>
                <w:sz w:val="20"/>
                <w:szCs w:val="20"/>
              </w:rPr>
            </w:pPr>
            <w:r w:rsidRPr="00AA745A">
              <w:rPr>
                <w:rFonts w:ascii="Arial" w:hAnsi="Arial" w:cs="Arial"/>
                <w:sz w:val="20"/>
                <w:szCs w:val="20"/>
              </w:rPr>
              <w:t>18</w:t>
            </w:r>
          </w:p>
        </w:tc>
        <w:tc>
          <w:tcPr>
            <w:tcW w:w="0" w:type="auto"/>
            <w:shd w:val="clear" w:color="auto" w:fill="auto"/>
            <w:vAlign w:val="center"/>
          </w:tcPr>
          <w:p w14:paraId="720204C9" w14:textId="5A34AF66" w:rsidR="0013701C" w:rsidRDefault="0013701C" w:rsidP="0013701C">
            <w:pPr>
              <w:jc w:val="center"/>
              <w:rPr>
                <w:rFonts w:ascii="Arial" w:hAnsi="Arial" w:cs="Arial"/>
                <w:sz w:val="20"/>
                <w:szCs w:val="20"/>
              </w:rPr>
            </w:pPr>
            <w:r>
              <w:rPr>
                <w:rFonts w:ascii="Arial" w:hAnsi="Arial" w:cs="Arial"/>
                <w:sz w:val="20"/>
                <w:szCs w:val="20"/>
              </w:rPr>
              <w:t>-0.016</w:t>
            </w:r>
          </w:p>
          <w:p w14:paraId="51C7AB32" w14:textId="6DD84345" w:rsidR="0013701C" w:rsidRPr="00C24DED" w:rsidRDefault="0013701C" w:rsidP="0013701C">
            <w:pPr>
              <w:jc w:val="center"/>
              <w:rPr>
                <w:rFonts w:ascii="Arial" w:hAnsi="Arial" w:cs="Arial"/>
                <w:sz w:val="20"/>
                <w:szCs w:val="20"/>
              </w:rPr>
            </w:pPr>
            <w:r>
              <w:rPr>
                <w:rFonts w:ascii="Arial" w:hAnsi="Arial" w:cs="Arial"/>
                <w:sz w:val="20"/>
                <w:szCs w:val="20"/>
              </w:rPr>
              <w:t>(0.30)</w:t>
            </w:r>
          </w:p>
        </w:tc>
        <w:tc>
          <w:tcPr>
            <w:tcW w:w="0" w:type="auto"/>
            <w:vAlign w:val="center"/>
          </w:tcPr>
          <w:p w14:paraId="2AC0AB89" w14:textId="180546EB" w:rsidR="0013701C" w:rsidRDefault="0013701C" w:rsidP="0013701C">
            <w:pPr>
              <w:jc w:val="center"/>
              <w:rPr>
                <w:rFonts w:ascii="Arial" w:hAnsi="Arial" w:cs="Arial"/>
                <w:sz w:val="20"/>
                <w:szCs w:val="20"/>
              </w:rPr>
            </w:pPr>
            <w:r>
              <w:rPr>
                <w:rFonts w:ascii="Arial" w:hAnsi="Arial" w:cs="Arial"/>
                <w:sz w:val="20"/>
                <w:szCs w:val="20"/>
              </w:rPr>
              <w:t>0.016</w:t>
            </w:r>
          </w:p>
          <w:p w14:paraId="1BD9AE96" w14:textId="13570C2E" w:rsidR="0013701C" w:rsidRDefault="0013701C" w:rsidP="0013701C">
            <w:pPr>
              <w:jc w:val="center"/>
              <w:rPr>
                <w:rFonts w:ascii="Arial" w:hAnsi="Arial" w:cs="Arial"/>
                <w:sz w:val="20"/>
                <w:szCs w:val="20"/>
              </w:rPr>
            </w:pPr>
            <w:r>
              <w:rPr>
                <w:rFonts w:ascii="Arial" w:hAnsi="Arial" w:cs="Arial"/>
                <w:sz w:val="20"/>
                <w:szCs w:val="20"/>
              </w:rPr>
              <w:t>(0.38)</w:t>
            </w:r>
          </w:p>
        </w:tc>
        <w:tc>
          <w:tcPr>
            <w:tcW w:w="0" w:type="auto"/>
            <w:shd w:val="clear" w:color="auto" w:fill="auto"/>
            <w:vAlign w:val="center"/>
          </w:tcPr>
          <w:p w14:paraId="6027A069" w14:textId="0343B78E" w:rsidR="0013701C" w:rsidRDefault="000D1A07" w:rsidP="0013701C">
            <w:pPr>
              <w:jc w:val="center"/>
              <w:rPr>
                <w:rFonts w:ascii="Arial" w:hAnsi="Arial" w:cs="Arial"/>
                <w:sz w:val="20"/>
                <w:szCs w:val="20"/>
              </w:rPr>
            </w:pPr>
            <w:r>
              <w:rPr>
                <w:rFonts w:ascii="Arial" w:hAnsi="Arial" w:cs="Arial"/>
                <w:sz w:val="20"/>
                <w:szCs w:val="20"/>
              </w:rPr>
              <w:t>-0.049</w:t>
            </w:r>
          </w:p>
          <w:p w14:paraId="2C53FE37" w14:textId="23A1A386" w:rsidR="0013701C" w:rsidRPr="004D2284" w:rsidRDefault="002607FF" w:rsidP="0013701C">
            <w:pPr>
              <w:jc w:val="center"/>
              <w:rPr>
                <w:rFonts w:ascii="Arial" w:hAnsi="Arial" w:cs="Arial"/>
                <w:sz w:val="20"/>
                <w:szCs w:val="20"/>
              </w:rPr>
            </w:pPr>
            <w:r>
              <w:rPr>
                <w:rFonts w:ascii="Arial" w:hAnsi="Arial" w:cs="Arial"/>
                <w:sz w:val="20"/>
                <w:szCs w:val="20"/>
              </w:rPr>
              <w:t>(0.06</w:t>
            </w:r>
            <w:r w:rsidR="0013701C">
              <w:rPr>
                <w:rFonts w:ascii="Arial" w:hAnsi="Arial" w:cs="Arial"/>
                <w:sz w:val="20"/>
                <w:szCs w:val="20"/>
              </w:rPr>
              <w:t>)</w:t>
            </w:r>
          </w:p>
        </w:tc>
        <w:tc>
          <w:tcPr>
            <w:tcW w:w="0" w:type="auto"/>
            <w:vAlign w:val="center"/>
          </w:tcPr>
          <w:p w14:paraId="1FE2AD70" w14:textId="15D01741" w:rsidR="0013701C" w:rsidRDefault="0013701C" w:rsidP="0013701C">
            <w:pPr>
              <w:jc w:val="center"/>
              <w:rPr>
                <w:rFonts w:ascii="Arial" w:hAnsi="Arial" w:cs="Arial"/>
                <w:sz w:val="20"/>
                <w:szCs w:val="20"/>
              </w:rPr>
            </w:pPr>
            <w:r>
              <w:rPr>
                <w:rFonts w:ascii="Arial" w:hAnsi="Arial" w:cs="Arial"/>
                <w:sz w:val="20"/>
                <w:szCs w:val="20"/>
              </w:rPr>
              <w:t>0.0</w:t>
            </w:r>
            <w:r w:rsidR="00C20214">
              <w:rPr>
                <w:rFonts w:ascii="Arial" w:hAnsi="Arial" w:cs="Arial"/>
                <w:sz w:val="20"/>
                <w:szCs w:val="20"/>
              </w:rPr>
              <w:t>39</w:t>
            </w:r>
          </w:p>
          <w:p w14:paraId="266A9491" w14:textId="3126A25B" w:rsidR="0013701C" w:rsidRPr="00C24DED" w:rsidRDefault="0013701C" w:rsidP="0013701C">
            <w:pPr>
              <w:keepNext/>
              <w:keepLines/>
              <w:jc w:val="center"/>
              <w:rPr>
                <w:rFonts w:ascii="Arial" w:hAnsi="Arial" w:cs="Arial"/>
                <w:sz w:val="20"/>
                <w:szCs w:val="20"/>
              </w:rPr>
            </w:pPr>
            <w:r>
              <w:rPr>
                <w:rFonts w:ascii="Arial" w:hAnsi="Arial" w:cs="Arial"/>
                <w:sz w:val="20"/>
                <w:szCs w:val="20"/>
              </w:rPr>
              <w:t>(0.</w:t>
            </w:r>
            <w:r w:rsidR="00C20214">
              <w:rPr>
                <w:rFonts w:ascii="Arial" w:hAnsi="Arial" w:cs="Arial"/>
                <w:sz w:val="20"/>
                <w:szCs w:val="20"/>
              </w:rPr>
              <w:t>17</w:t>
            </w:r>
            <w:r>
              <w:rPr>
                <w:rFonts w:ascii="Arial" w:hAnsi="Arial" w:cs="Arial"/>
                <w:sz w:val="20"/>
                <w:szCs w:val="20"/>
              </w:rPr>
              <w:t>)</w:t>
            </w:r>
          </w:p>
        </w:tc>
        <w:tc>
          <w:tcPr>
            <w:tcW w:w="0" w:type="auto"/>
            <w:shd w:val="clear" w:color="auto" w:fill="auto"/>
            <w:vAlign w:val="center"/>
          </w:tcPr>
          <w:p w14:paraId="28D0C0DE" w14:textId="00AA99EB" w:rsidR="0013701C" w:rsidRDefault="0013701C" w:rsidP="0013701C">
            <w:pPr>
              <w:jc w:val="center"/>
              <w:rPr>
                <w:rFonts w:ascii="Arial" w:hAnsi="Arial" w:cs="Arial"/>
                <w:sz w:val="20"/>
                <w:szCs w:val="20"/>
              </w:rPr>
            </w:pPr>
            <w:r>
              <w:rPr>
                <w:rFonts w:ascii="Arial" w:hAnsi="Arial" w:cs="Arial"/>
                <w:sz w:val="20"/>
                <w:szCs w:val="20"/>
              </w:rPr>
              <w:t>-0.0</w:t>
            </w:r>
            <w:r w:rsidR="00C20214">
              <w:rPr>
                <w:rFonts w:ascii="Arial" w:hAnsi="Arial" w:cs="Arial"/>
                <w:sz w:val="20"/>
                <w:szCs w:val="20"/>
              </w:rPr>
              <w:t>25</w:t>
            </w:r>
          </w:p>
          <w:p w14:paraId="2D4C5222" w14:textId="38D97243" w:rsidR="0013701C" w:rsidRPr="00C24DED" w:rsidRDefault="0013701C" w:rsidP="0013701C">
            <w:pPr>
              <w:keepNext/>
              <w:keepLines/>
              <w:jc w:val="center"/>
              <w:rPr>
                <w:rFonts w:ascii="Arial" w:hAnsi="Arial" w:cs="Arial"/>
                <w:sz w:val="20"/>
                <w:szCs w:val="20"/>
              </w:rPr>
            </w:pPr>
            <w:r>
              <w:rPr>
                <w:rFonts w:ascii="Arial" w:hAnsi="Arial" w:cs="Arial"/>
                <w:sz w:val="20"/>
                <w:szCs w:val="20"/>
              </w:rPr>
              <w:t>(0.</w:t>
            </w:r>
            <w:r w:rsidR="00C20214">
              <w:rPr>
                <w:rFonts w:ascii="Arial" w:hAnsi="Arial" w:cs="Arial"/>
                <w:sz w:val="20"/>
                <w:szCs w:val="20"/>
              </w:rPr>
              <w:t>27</w:t>
            </w:r>
            <w:r>
              <w:rPr>
                <w:rFonts w:ascii="Arial" w:hAnsi="Arial" w:cs="Arial"/>
                <w:sz w:val="20"/>
                <w:szCs w:val="20"/>
              </w:rPr>
              <w:t>)</w:t>
            </w:r>
          </w:p>
        </w:tc>
      </w:tr>
      <w:tr w:rsidR="0013701C" w14:paraId="5D6CBEE1" w14:textId="77777777" w:rsidTr="00A818C7">
        <w:trPr>
          <w:jc w:val="center"/>
        </w:trPr>
        <w:tc>
          <w:tcPr>
            <w:tcW w:w="0" w:type="auto"/>
            <w:shd w:val="clear" w:color="auto" w:fill="auto"/>
            <w:vAlign w:val="center"/>
          </w:tcPr>
          <w:p w14:paraId="0B8C4113" w14:textId="6B41CDF5" w:rsidR="0013701C" w:rsidRPr="00AA745A" w:rsidRDefault="0013701C" w:rsidP="0013701C">
            <w:pPr>
              <w:keepNext/>
              <w:keepLines/>
              <w:rPr>
                <w:rFonts w:ascii="Arial" w:hAnsi="Arial" w:cs="Arial"/>
                <w:sz w:val="20"/>
                <w:szCs w:val="20"/>
              </w:rPr>
            </w:pPr>
            <w:r w:rsidRPr="00AA745A">
              <w:rPr>
                <w:rFonts w:ascii="Arial" w:hAnsi="Arial" w:cs="Arial"/>
                <w:sz w:val="20"/>
                <w:szCs w:val="20"/>
              </w:rPr>
              <w:t>19</w:t>
            </w:r>
          </w:p>
        </w:tc>
        <w:tc>
          <w:tcPr>
            <w:tcW w:w="0" w:type="auto"/>
            <w:shd w:val="clear" w:color="auto" w:fill="auto"/>
            <w:vAlign w:val="center"/>
          </w:tcPr>
          <w:p w14:paraId="0034E298" w14:textId="4E46A43F" w:rsidR="0013701C" w:rsidRDefault="0013701C" w:rsidP="0013701C">
            <w:pPr>
              <w:jc w:val="center"/>
              <w:rPr>
                <w:rFonts w:ascii="Arial" w:hAnsi="Arial" w:cs="Arial"/>
                <w:sz w:val="20"/>
                <w:szCs w:val="20"/>
              </w:rPr>
            </w:pPr>
            <w:r>
              <w:rPr>
                <w:rFonts w:ascii="Arial" w:hAnsi="Arial" w:cs="Arial"/>
                <w:sz w:val="20"/>
                <w:szCs w:val="20"/>
              </w:rPr>
              <w:t>-0.012</w:t>
            </w:r>
          </w:p>
          <w:p w14:paraId="5A604303" w14:textId="37F3CC53" w:rsidR="0013701C" w:rsidRPr="00C24DED" w:rsidRDefault="0013701C" w:rsidP="0013701C">
            <w:pPr>
              <w:jc w:val="center"/>
              <w:rPr>
                <w:rFonts w:ascii="Arial" w:hAnsi="Arial" w:cs="Arial"/>
                <w:sz w:val="20"/>
                <w:szCs w:val="20"/>
              </w:rPr>
            </w:pPr>
            <w:r>
              <w:rPr>
                <w:rFonts w:ascii="Arial" w:hAnsi="Arial" w:cs="Arial"/>
                <w:sz w:val="20"/>
                <w:szCs w:val="20"/>
              </w:rPr>
              <w:t>(0.42)</w:t>
            </w:r>
          </w:p>
        </w:tc>
        <w:tc>
          <w:tcPr>
            <w:tcW w:w="0" w:type="auto"/>
            <w:vAlign w:val="center"/>
          </w:tcPr>
          <w:p w14:paraId="4C13762B" w14:textId="61294B80" w:rsidR="0013701C" w:rsidRDefault="0013701C" w:rsidP="0013701C">
            <w:pPr>
              <w:jc w:val="center"/>
              <w:rPr>
                <w:rFonts w:ascii="Arial" w:hAnsi="Arial" w:cs="Arial"/>
                <w:sz w:val="20"/>
                <w:szCs w:val="20"/>
              </w:rPr>
            </w:pPr>
            <w:r>
              <w:rPr>
                <w:rFonts w:ascii="Arial" w:hAnsi="Arial" w:cs="Arial"/>
                <w:sz w:val="20"/>
                <w:szCs w:val="20"/>
              </w:rPr>
              <w:t>0.013</w:t>
            </w:r>
          </w:p>
          <w:p w14:paraId="15B08B23" w14:textId="718C8837" w:rsidR="0013701C" w:rsidRDefault="0013701C" w:rsidP="0013701C">
            <w:pPr>
              <w:jc w:val="center"/>
              <w:rPr>
                <w:rFonts w:ascii="Arial" w:hAnsi="Arial" w:cs="Arial"/>
                <w:sz w:val="20"/>
                <w:szCs w:val="20"/>
              </w:rPr>
            </w:pPr>
            <w:r>
              <w:rPr>
                <w:rFonts w:ascii="Arial" w:hAnsi="Arial" w:cs="Arial"/>
                <w:sz w:val="20"/>
                <w:szCs w:val="20"/>
              </w:rPr>
              <w:t>(0.45)</w:t>
            </w:r>
          </w:p>
        </w:tc>
        <w:tc>
          <w:tcPr>
            <w:tcW w:w="0" w:type="auto"/>
            <w:shd w:val="clear" w:color="auto" w:fill="auto"/>
            <w:vAlign w:val="center"/>
          </w:tcPr>
          <w:p w14:paraId="1ACFD8E6" w14:textId="17906544" w:rsidR="0013701C" w:rsidRDefault="000D1A07" w:rsidP="0013701C">
            <w:pPr>
              <w:jc w:val="center"/>
              <w:rPr>
                <w:rFonts w:ascii="Arial" w:hAnsi="Arial" w:cs="Arial"/>
                <w:sz w:val="20"/>
                <w:szCs w:val="20"/>
              </w:rPr>
            </w:pPr>
            <w:r>
              <w:rPr>
                <w:rFonts w:ascii="Arial" w:hAnsi="Arial" w:cs="Arial"/>
                <w:sz w:val="20"/>
                <w:szCs w:val="20"/>
              </w:rPr>
              <w:t>-0.030</w:t>
            </w:r>
          </w:p>
          <w:p w14:paraId="6F9A4DA0" w14:textId="52294979" w:rsidR="0013701C" w:rsidRPr="004D2284" w:rsidRDefault="000D1A07" w:rsidP="0013701C">
            <w:pPr>
              <w:jc w:val="center"/>
              <w:rPr>
                <w:rFonts w:ascii="Arial" w:hAnsi="Arial" w:cs="Arial"/>
                <w:sz w:val="20"/>
                <w:szCs w:val="20"/>
              </w:rPr>
            </w:pPr>
            <w:r>
              <w:rPr>
                <w:rFonts w:ascii="Arial" w:hAnsi="Arial" w:cs="Arial"/>
                <w:sz w:val="20"/>
                <w:szCs w:val="20"/>
              </w:rPr>
              <w:t>(0.22</w:t>
            </w:r>
            <w:r w:rsidR="0013701C">
              <w:rPr>
                <w:rFonts w:ascii="Arial" w:hAnsi="Arial" w:cs="Arial"/>
                <w:sz w:val="20"/>
                <w:szCs w:val="20"/>
              </w:rPr>
              <w:t>)</w:t>
            </w:r>
          </w:p>
        </w:tc>
        <w:tc>
          <w:tcPr>
            <w:tcW w:w="0" w:type="auto"/>
            <w:vAlign w:val="center"/>
          </w:tcPr>
          <w:p w14:paraId="4CE686C8" w14:textId="30A315FC" w:rsidR="0013701C" w:rsidRDefault="0013701C" w:rsidP="0013701C">
            <w:pPr>
              <w:jc w:val="center"/>
              <w:rPr>
                <w:rFonts w:ascii="Arial" w:hAnsi="Arial" w:cs="Arial"/>
                <w:sz w:val="20"/>
                <w:szCs w:val="20"/>
              </w:rPr>
            </w:pPr>
            <w:r>
              <w:rPr>
                <w:rFonts w:ascii="Arial" w:hAnsi="Arial" w:cs="Arial"/>
                <w:sz w:val="20"/>
                <w:szCs w:val="20"/>
              </w:rPr>
              <w:t>0.0</w:t>
            </w:r>
            <w:r w:rsidR="00C20214">
              <w:rPr>
                <w:rFonts w:ascii="Arial" w:hAnsi="Arial" w:cs="Arial"/>
                <w:sz w:val="20"/>
                <w:szCs w:val="20"/>
              </w:rPr>
              <w:t>21</w:t>
            </w:r>
          </w:p>
          <w:p w14:paraId="596781FE" w14:textId="3D59DBAD" w:rsidR="0013701C" w:rsidRPr="00C24DED" w:rsidRDefault="0013701C" w:rsidP="0013701C">
            <w:pPr>
              <w:keepNext/>
              <w:keepLines/>
              <w:jc w:val="center"/>
              <w:rPr>
                <w:rFonts w:ascii="Arial" w:hAnsi="Arial" w:cs="Arial"/>
                <w:sz w:val="20"/>
                <w:szCs w:val="20"/>
              </w:rPr>
            </w:pPr>
            <w:r>
              <w:rPr>
                <w:rFonts w:ascii="Arial" w:hAnsi="Arial" w:cs="Arial"/>
                <w:sz w:val="20"/>
                <w:szCs w:val="20"/>
              </w:rPr>
              <w:t>(0.</w:t>
            </w:r>
            <w:r w:rsidR="00C20214">
              <w:rPr>
                <w:rFonts w:ascii="Arial" w:hAnsi="Arial" w:cs="Arial"/>
                <w:sz w:val="20"/>
                <w:szCs w:val="20"/>
              </w:rPr>
              <w:t>46</w:t>
            </w:r>
            <w:r>
              <w:rPr>
                <w:rFonts w:ascii="Arial" w:hAnsi="Arial" w:cs="Arial"/>
                <w:sz w:val="20"/>
                <w:szCs w:val="20"/>
              </w:rPr>
              <w:t>)</w:t>
            </w:r>
          </w:p>
        </w:tc>
        <w:tc>
          <w:tcPr>
            <w:tcW w:w="0" w:type="auto"/>
            <w:shd w:val="clear" w:color="auto" w:fill="auto"/>
            <w:vAlign w:val="center"/>
          </w:tcPr>
          <w:p w14:paraId="38358A0C" w14:textId="77777777" w:rsidR="0013701C" w:rsidRDefault="0013701C" w:rsidP="0013701C">
            <w:pPr>
              <w:jc w:val="center"/>
              <w:rPr>
                <w:rFonts w:ascii="Arial" w:hAnsi="Arial" w:cs="Arial"/>
                <w:sz w:val="20"/>
                <w:szCs w:val="20"/>
              </w:rPr>
            </w:pPr>
            <w:r>
              <w:rPr>
                <w:rFonts w:ascii="Arial" w:hAnsi="Arial" w:cs="Arial"/>
                <w:sz w:val="20"/>
                <w:szCs w:val="20"/>
              </w:rPr>
              <w:t>-0.015</w:t>
            </w:r>
          </w:p>
          <w:p w14:paraId="0DA0ED09" w14:textId="13B20A62" w:rsidR="0013701C" w:rsidRPr="00C24DED" w:rsidRDefault="0013701C" w:rsidP="0013701C">
            <w:pPr>
              <w:keepNext/>
              <w:keepLines/>
              <w:jc w:val="center"/>
              <w:rPr>
                <w:rFonts w:ascii="Arial" w:hAnsi="Arial" w:cs="Arial"/>
                <w:sz w:val="20"/>
                <w:szCs w:val="20"/>
              </w:rPr>
            </w:pPr>
            <w:r>
              <w:rPr>
                <w:rFonts w:ascii="Arial" w:hAnsi="Arial" w:cs="Arial"/>
                <w:sz w:val="20"/>
                <w:szCs w:val="20"/>
              </w:rPr>
              <w:t>(0.</w:t>
            </w:r>
            <w:r w:rsidR="00C20214">
              <w:rPr>
                <w:rFonts w:ascii="Arial" w:hAnsi="Arial" w:cs="Arial"/>
                <w:sz w:val="20"/>
                <w:szCs w:val="20"/>
              </w:rPr>
              <w:t>5</w:t>
            </w:r>
            <w:r>
              <w:rPr>
                <w:rFonts w:ascii="Arial" w:hAnsi="Arial" w:cs="Arial"/>
                <w:sz w:val="20"/>
                <w:szCs w:val="20"/>
              </w:rPr>
              <w:t>0)</w:t>
            </w:r>
          </w:p>
        </w:tc>
      </w:tr>
      <w:tr w:rsidR="0013701C" w14:paraId="1DA1C62C" w14:textId="77777777" w:rsidTr="00A818C7">
        <w:trPr>
          <w:jc w:val="center"/>
        </w:trPr>
        <w:tc>
          <w:tcPr>
            <w:tcW w:w="0" w:type="auto"/>
            <w:shd w:val="clear" w:color="auto" w:fill="auto"/>
            <w:vAlign w:val="center"/>
          </w:tcPr>
          <w:p w14:paraId="2FE3B540" w14:textId="32C0AA26" w:rsidR="0013701C" w:rsidRPr="00AA745A" w:rsidRDefault="0013701C" w:rsidP="0013701C">
            <w:pPr>
              <w:keepNext/>
              <w:keepLines/>
              <w:rPr>
                <w:rFonts w:ascii="Arial" w:hAnsi="Arial" w:cs="Arial"/>
                <w:sz w:val="20"/>
                <w:szCs w:val="20"/>
              </w:rPr>
            </w:pPr>
            <w:r w:rsidRPr="00AA745A">
              <w:rPr>
                <w:rFonts w:ascii="Arial" w:hAnsi="Arial" w:cs="Arial"/>
                <w:sz w:val="20"/>
                <w:szCs w:val="20"/>
              </w:rPr>
              <w:t>20</w:t>
            </w:r>
          </w:p>
        </w:tc>
        <w:tc>
          <w:tcPr>
            <w:tcW w:w="0" w:type="auto"/>
            <w:shd w:val="clear" w:color="auto" w:fill="auto"/>
            <w:vAlign w:val="center"/>
          </w:tcPr>
          <w:p w14:paraId="79ADDA8E" w14:textId="515CD42E" w:rsidR="0013701C" w:rsidRDefault="0013701C" w:rsidP="0013701C">
            <w:pPr>
              <w:jc w:val="center"/>
              <w:rPr>
                <w:rFonts w:ascii="Arial" w:hAnsi="Arial" w:cs="Arial"/>
                <w:sz w:val="20"/>
                <w:szCs w:val="20"/>
              </w:rPr>
            </w:pPr>
            <w:r>
              <w:rPr>
                <w:rFonts w:ascii="Arial" w:hAnsi="Arial" w:cs="Arial"/>
                <w:sz w:val="20"/>
                <w:szCs w:val="20"/>
              </w:rPr>
              <w:t>-0.007</w:t>
            </w:r>
          </w:p>
          <w:p w14:paraId="06C6A0C9" w14:textId="79552572" w:rsidR="0013701C" w:rsidRPr="00C24DED" w:rsidRDefault="0013701C" w:rsidP="0013701C">
            <w:pPr>
              <w:jc w:val="center"/>
              <w:rPr>
                <w:rFonts w:ascii="Arial" w:hAnsi="Arial" w:cs="Arial"/>
                <w:sz w:val="20"/>
                <w:szCs w:val="20"/>
              </w:rPr>
            </w:pPr>
            <w:r>
              <w:rPr>
                <w:rFonts w:ascii="Arial" w:hAnsi="Arial" w:cs="Arial"/>
                <w:sz w:val="20"/>
                <w:szCs w:val="20"/>
              </w:rPr>
              <w:t>(0.62)</w:t>
            </w:r>
          </w:p>
        </w:tc>
        <w:tc>
          <w:tcPr>
            <w:tcW w:w="0" w:type="auto"/>
            <w:vAlign w:val="center"/>
          </w:tcPr>
          <w:p w14:paraId="702FD67A" w14:textId="61CCCCE1" w:rsidR="0013701C" w:rsidRDefault="0013701C" w:rsidP="0013701C">
            <w:pPr>
              <w:jc w:val="center"/>
              <w:rPr>
                <w:rFonts w:ascii="Arial" w:hAnsi="Arial" w:cs="Arial"/>
                <w:sz w:val="20"/>
                <w:szCs w:val="20"/>
              </w:rPr>
            </w:pPr>
            <w:r>
              <w:rPr>
                <w:rFonts w:ascii="Arial" w:hAnsi="Arial" w:cs="Arial"/>
                <w:sz w:val="20"/>
                <w:szCs w:val="20"/>
              </w:rPr>
              <w:t>0.015</w:t>
            </w:r>
          </w:p>
          <w:p w14:paraId="317E6B69" w14:textId="19C74138" w:rsidR="0013701C" w:rsidRDefault="0013701C" w:rsidP="0013701C">
            <w:pPr>
              <w:jc w:val="center"/>
              <w:rPr>
                <w:rFonts w:ascii="Arial" w:hAnsi="Arial" w:cs="Arial"/>
                <w:sz w:val="20"/>
                <w:szCs w:val="20"/>
              </w:rPr>
            </w:pPr>
            <w:r>
              <w:rPr>
                <w:rFonts w:ascii="Arial" w:hAnsi="Arial" w:cs="Arial"/>
                <w:sz w:val="20"/>
                <w:szCs w:val="20"/>
              </w:rPr>
              <w:t>(0.38)</w:t>
            </w:r>
          </w:p>
        </w:tc>
        <w:tc>
          <w:tcPr>
            <w:tcW w:w="0" w:type="auto"/>
            <w:shd w:val="clear" w:color="auto" w:fill="auto"/>
            <w:vAlign w:val="center"/>
          </w:tcPr>
          <w:p w14:paraId="1E8AC1C5" w14:textId="02264D7C" w:rsidR="0013701C" w:rsidRDefault="002607FF" w:rsidP="0013701C">
            <w:pPr>
              <w:jc w:val="center"/>
              <w:rPr>
                <w:rFonts w:ascii="Arial" w:hAnsi="Arial" w:cs="Arial"/>
                <w:sz w:val="20"/>
                <w:szCs w:val="20"/>
              </w:rPr>
            </w:pPr>
            <w:r>
              <w:rPr>
                <w:rFonts w:ascii="Arial" w:hAnsi="Arial" w:cs="Arial"/>
                <w:sz w:val="20"/>
                <w:szCs w:val="20"/>
              </w:rPr>
              <w:t>-</w:t>
            </w:r>
            <w:r w:rsidR="000D1A07">
              <w:rPr>
                <w:rFonts w:ascii="Arial" w:hAnsi="Arial" w:cs="Arial"/>
                <w:sz w:val="20"/>
                <w:szCs w:val="20"/>
              </w:rPr>
              <w:t>0.016</w:t>
            </w:r>
          </w:p>
          <w:p w14:paraId="286CC0A6" w14:textId="045BA062" w:rsidR="0013701C" w:rsidRPr="004D2284" w:rsidRDefault="000D1A07" w:rsidP="0013701C">
            <w:pPr>
              <w:jc w:val="center"/>
              <w:rPr>
                <w:rFonts w:ascii="Arial" w:hAnsi="Arial" w:cs="Arial"/>
                <w:sz w:val="20"/>
                <w:szCs w:val="20"/>
              </w:rPr>
            </w:pPr>
            <w:r>
              <w:rPr>
                <w:rFonts w:ascii="Arial" w:hAnsi="Arial" w:cs="Arial"/>
                <w:sz w:val="20"/>
                <w:szCs w:val="20"/>
              </w:rPr>
              <w:t>(0.51</w:t>
            </w:r>
            <w:r w:rsidR="0013701C">
              <w:rPr>
                <w:rFonts w:ascii="Arial" w:hAnsi="Arial" w:cs="Arial"/>
                <w:sz w:val="20"/>
                <w:szCs w:val="20"/>
              </w:rPr>
              <w:t>)</w:t>
            </w:r>
          </w:p>
        </w:tc>
        <w:tc>
          <w:tcPr>
            <w:tcW w:w="0" w:type="auto"/>
            <w:vAlign w:val="center"/>
          </w:tcPr>
          <w:p w14:paraId="5F65C9B7" w14:textId="5577005E" w:rsidR="0013701C" w:rsidRDefault="0013701C" w:rsidP="0013701C">
            <w:pPr>
              <w:jc w:val="center"/>
              <w:rPr>
                <w:rFonts w:ascii="Arial" w:hAnsi="Arial" w:cs="Arial"/>
                <w:sz w:val="20"/>
                <w:szCs w:val="20"/>
              </w:rPr>
            </w:pPr>
            <w:r>
              <w:rPr>
                <w:rFonts w:ascii="Arial" w:hAnsi="Arial" w:cs="Arial"/>
                <w:sz w:val="20"/>
                <w:szCs w:val="20"/>
              </w:rPr>
              <w:t>0.0</w:t>
            </w:r>
            <w:r w:rsidR="00C20214">
              <w:rPr>
                <w:rFonts w:ascii="Arial" w:hAnsi="Arial" w:cs="Arial"/>
                <w:sz w:val="20"/>
                <w:szCs w:val="20"/>
              </w:rPr>
              <w:t>12</w:t>
            </w:r>
          </w:p>
          <w:p w14:paraId="67BEEA57" w14:textId="6C70E5B6" w:rsidR="0013701C" w:rsidRPr="00C24DED" w:rsidRDefault="0013701C" w:rsidP="0013701C">
            <w:pPr>
              <w:keepNext/>
              <w:keepLines/>
              <w:jc w:val="center"/>
              <w:rPr>
                <w:rFonts w:ascii="Arial" w:hAnsi="Arial" w:cs="Arial"/>
                <w:sz w:val="20"/>
                <w:szCs w:val="20"/>
              </w:rPr>
            </w:pPr>
            <w:r>
              <w:rPr>
                <w:rFonts w:ascii="Arial" w:hAnsi="Arial" w:cs="Arial"/>
                <w:sz w:val="20"/>
                <w:szCs w:val="20"/>
              </w:rPr>
              <w:t>(0.</w:t>
            </w:r>
            <w:r w:rsidR="00C20214">
              <w:rPr>
                <w:rFonts w:ascii="Arial" w:hAnsi="Arial" w:cs="Arial"/>
                <w:sz w:val="20"/>
                <w:szCs w:val="20"/>
              </w:rPr>
              <w:t>68</w:t>
            </w:r>
            <w:r>
              <w:rPr>
                <w:rFonts w:ascii="Arial" w:hAnsi="Arial" w:cs="Arial"/>
                <w:sz w:val="20"/>
                <w:szCs w:val="20"/>
              </w:rPr>
              <w:t>)</w:t>
            </w:r>
          </w:p>
        </w:tc>
        <w:tc>
          <w:tcPr>
            <w:tcW w:w="0" w:type="auto"/>
            <w:shd w:val="clear" w:color="auto" w:fill="auto"/>
            <w:vAlign w:val="center"/>
          </w:tcPr>
          <w:p w14:paraId="38EAF5BD" w14:textId="636A9BBA" w:rsidR="0013701C" w:rsidRDefault="00C20214" w:rsidP="0013701C">
            <w:pPr>
              <w:jc w:val="center"/>
              <w:rPr>
                <w:rFonts w:ascii="Arial" w:hAnsi="Arial" w:cs="Arial"/>
                <w:sz w:val="20"/>
                <w:szCs w:val="20"/>
              </w:rPr>
            </w:pPr>
            <w:r>
              <w:rPr>
                <w:rFonts w:ascii="Arial" w:hAnsi="Arial" w:cs="Arial"/>
                <w:sz w:val="20"/>
                <w:szCs w:val="20"/>
              </w:rPr>
              <w:t>-0.016</w:t>
            </w:r>
          </w:p>
          <w:p w14:paraId="6F2777F8" w14:textId="7148FEB9" w:rsidR="0013701C" w:rsidRPr="00C24DED" w:rsidRDefault="0013701C" w:rsidP="0013701C">
            <w:pPr>
              <w:keepNext/>
              <w:keepLines/>
              <w:jc w:val="center"/>
              <w:rPr>
                <w:rFonts w:ascii="Arial" w:hAnsi="Arial" w:cs="Arial"/>
                <w:sz w:val="20"/>
                <w:szCs w:val="20"/>
              </w:rPr>
            </w:pPr>
            <w:r>
              <w:rPr>
                <w:rFonts w:ascii="Arial" w:hAnsi="Arial" w:cs="Arial"/>
                <w:sz w:val="20"/>
                <w:szCs w:val="20"/>
              </w:rPr>
              <w:t>(0.</w:t>
            </w:r>
            <w:r w:rsidR="00C20214">
              <w:rPr>
                <w:rFonts w:ascii="Arial" w:hAnsi="Arial" w:cs="Arial"/>
                <w:sz w:val="20"/>
                <w:szCs w:val="20"/>
              </w:rPr>
              <w:t>47</w:t>
            </w:r>
            <w:r>
              <w:rPr>
                <w:rFonts w:ascii="Arial" w:hAnsi="Arial" w:cs="Arial"/>
                <w:sz w:val="20"/>
                <w:szCs w:val="20"/>
              </w:rPr>
              <w:t>)</w:t>
            </w:r>
          </w:p>
        </w:tc>
      </w:tr>
      <w:tr w:rsidR="00A2035B" w14:paraId="519DFF2F" w14:textId="77777777" w:rsidTr="00A818C7">
        <w:trPr>
          <w:jc w:val="center"/>
        </w:trPr>
        <w:tc>
          <w:tcPr>
            <w:tcW w:w="0" w:type="auto"/>
            <w:shd w:val="clear" w:color="auto" w:fill="auto"/>
            <w:vAlign w:val="center"/>
          </w:tcPr>
          <w:p w14:paraId="5F9AE55A" w14:textId="30258820" w:rsidR="00A2035B" w:rsidRPr="00AA745A" w:rsidRDefault="00A2035B" w:rsidP="0013701C">
            <w:pPr>
              <w:keepNext/>
              <w:keepLines/>
              <w:rPr>
                <w:rFonts w:ascii="Arial" w:hAnsi="Arial" w:cs="Arial"/>
                <w:sz w:val="20"/>
                <w:szCs w:val="20"/>
              </w:rPr>
            </w:pPr>
            <w:r>
              <w:rPr>
                <w:rFonts w:ascii="Arial" w:hAnsi="Arial" w:cs="Arial"/>
                <w:sz w:val="20"/>
                <w:szCs w:val="20"/>
              </w:rPr>
              <w:t>21</w:t>
            </w:r>
          </w:p>
        </w:tc>
        <w:tc>
          <w:tcPr>
            <w:tcW w:w="0" w:type="auto"/>
            <w:shd w:val="clear" w:color="auto" w:fill="auto"/>
            <w:vAlign w:val="center"/>
          </w:tcPr>
          <w:p w14:paraId="4631BAFB" w14:textId="77777777" w:rsidR="00A2035B" w:rsidRDefault="00A2035B" w:rsidP="0013701C">
            <w:pPr>
              <w:jc w:val="center"/>
              <w:rPr>
                <w:rFonts w:ascii="Arial" w:hAnsi="Arial" w:cs="Arial"/>
                <w:sz w:val="20"/>
                <w:szCs w:val="20"/>
              </w:rPr>
            </w:pPr>
            <w:r>
              <w:rPr>
                <w:rFonts w:ascii="Arial" w:hAnsi="Arial" w:cs="Arial"/>
                <w:sz w:val="20"/>
                <w:szCs w:val="20"/>
              </w:rPr>
              <w:t>-0.006</w:t>
            </w:r>
          </w:p>
          <w:p w14:paraId="545D8669" w14:textId="123F0A4E" w:rsidR="00A2035B" w:rsidRDefault="00A2035B" w:rsidP="0013701C">
            <w:pPr>
              <w:jc w:val="center"/>
              <w:rPr>
                <w:rFonts w:ascii="Arial" w:hAnsi="Arial" w:cs="Arial"/>
                <w:sz w:val="20"/>
                <w:szCs w:val="20"/>
              </w:rPr>
            </w:pPr>
            <w:r>
              <w:rPr>
                <w:rFonts w:ascii="Arial" w:hAnsi="Arial" w:cs="Arial"/>
                <w:sz w:val="20"/>
                <w:szCs w:val="20"/>
              </w:rPr>
              <w:t>(0.71)</w:t>
            </w:r>
          </w:p>
        </w:tc>
        <w:tc>
          <w:tcPr>
            <w:tcW w:w="0" w:type="auto"/>
            <w:vAlign w:val="center"/>
          </w:tcPr>
          <w:p w14:paraId="079929B3" w14:textId="77777777" w:rsidR="00A2035B" w:rsidRDefault="00A2035B" w:rsidP="0013701C">
            <w:pPr>
              <w:jc w:val="center"/>
              <w:rPr>
                <w:rFonts w:ascii="Arial" w:hAnsi="Arial" w:cs="Arial"/>
                <w:sz w:val="20"/>
                <w:szCs w:val="20"/>
              </w:rPr>
            </w:pPr>
            <w:r>
              <w:rPr>
                <w:rFonts w:ascii="Arial" w:hAnsi="Arial" w:cs="Arial"/>
                <w:sz w:val="20"/>
                <w:szCs w:val="20"/>
              </w:rPr>
              <w:t>-0.001</w:t>
            </w:r>
          </w:p>
          <w:p w14:paraId="22FA4662" w14:textId="77730AB5" w:rsidR="00A2035B" w:rsidRDefault="00A2035B" w:rsidP="0013701C">
            <w:pPr>
              <w:jc w:val="center"/>
              <w:rPr>
                <w:rFonts w:ascii="Arial" w:hAnsi="Arial" w:cs="Arial"/>
                <w:sz w:val="20"/>
                <w:szCs w:val="20"/>
              </w:rPr>
            </w:pPr>
            <w:r>
              <w:rPr>
                <w:rFonts w:ascii="Arial" w:hAnsi="Arial" w:cs="Arial"/>
                <w:sz w:val="20"/>
                <w:szCs w:val="20"/>
              </w:rPr>
              <w:t>(0.99)</w:t>
            </w:r>
          </w:p>
        </w:tc>
        <w:tc>
          <w:tcPr>
            <w:tcW w:w="0" w:type="auto"/>
            <w:shd w:val="clear" w:color="auto" w:fill="auto"/>
            <w:vAlign w:val="center"/>
          </w:tcPr>
          <w:p w14:paraId="4EF92D10" w14:textId="7671E02D" w:rsidR="00A2035B" w:rsidRDefault="002607FF" w:rsidP="0013701C">
            <w:pPr>
              <w:jc w:val="center"/>
              <w:rPr>
                <w:rFonts w:ascii="Arial" w:hAnsi="Arial" w:cs="Arial"/>
                <w:sz w:val="20"/>
                <w:szCs w:val="20"/>
              </w:rPr>
            </w:pPr>
            <w:r>
              <w:rPr>
                <w:rFonts w:ascii="Arial" w:hAnsi="Arial" w:cs="Arial"/>
                <w:sz w:val="20"/>
                <w:szCs w:val="20"/>
              </w:rPr>
              <w:t>-</w:t>
            </w:r>
            <w:r w:rsidR="000D1A07">
              <w:rPr>
                <w:rFonts w:ascii="Arial" w:hAnsi="Arial" w:cs="Arial"/>
                <w:sz w:val="20"/>
                <w:szCs w:val="20"/>
              </w:rPr>
              <w:t>0.014</w:t>
            </w:r>
          </w:p>
          <w:p w14:paraId="766AE814" w14:textId="3315B80A" w:rsidR="00A2035B" w:rsidRDefault="00A2035B" w:rsidP="002607FF">
            <w:pPr>
              <w:jc w:val="center"/>
              <w:rPr>
                <w:rFonts w:ascii="Arial" w:hAnsi="Arial" w:cs="Arial"/>
                <w:sz w:val="20"/>
                <w:szCs w:val="20"/>
              </w:rPr>
            </w:pPr>
            <w:r>
              <w:rPr>
                <w:rFonts w:ascii="Arial" w:hAnsi="Arial" w:cs="Arial"/>
                <w:sz w:val="20"/>
                <w:szCs w:val="20"/>
              </w:rPr>
              <w:t>(0.</w:t>
            </w:r>
            <w:r w:rsidR="000D1A07">
              <w:rPr>
                <w:rFonts w:ascii="Arial" w:hAnsi="Arial" w:cs="Arial"/>
                <w:sz w:val="20"/>
                <w:szCs w:val="20"/>
              </w:rPr>
              <w:t>55</w:t>
            </w:r>
            <w:r>
              <w:rPr>
                <w:rFonts w:ascii="Arial" w:hAnsi="Arial" w:cs="Arial"/>
                <w:sz w:val="20"/>
                <w:szCs w:val="20"/>
              </w:rPr>
              <w:t>)</w:t>
            </w:r>
          </w:p>
        </w:tc>
        <w:tc>
          <w:tcPr>
            <w:tcW w:w="0" w:type="auto"/>
            <w:vAlign w:val="center"/>
          </w:tcPr>
          <w:p w14:paraId="1CC2111B" w14:textId="77777777" w:rsidR="00A2035B" w:rsidRDefault="00A2035B" w:rsidP="0013701C">
            <w:pPr>
              <w:jc w:val="center"/>
              <w:rPr>
                <w:rFonts w:ascii="Arial" w:hAnsi="Arial" w:cs="Arial"/>
                <w:sz w:val="20"/>
                <w:szCs w:val="20"/>
              </w:rPr>
            </w:pPr>
            <w:r>
              <w:rPr>
                <w:rFonts w:ascii="Arial" w:hAnsi="Arial" w:cs="Arial"/>
                <w:sz w:val="20"/>
                <w:szCs w:val="20"/>
              </w:rPr>
              <w:t>-0.002</w:t>
            </w:r>
          </w:p>
          <w:p w14:paraId="7E56363B" w14:textId="7AFCC9F1" w:rsidR="00A2035B" w:rsidRDefault="00A2035B" w:rsidP="0013701C">
            <w:pPr>
              <w:jc w:val="center"/>
              <w:rPr>
                <w:rFonts w:ascii="Arial" w:hAnsi="Arial" w:cs="Arial"/>
                <w:sz w:val="20"/>
                <w:szCs w:val="20"/>
              </w:rPr>
            </w:pPr>
            <w:r>
              <w:rPr>
                <w:rFonts w:ascii="Arial" w:hAnsi="Arial" w:cs="Arial"/>
                <w:sz w:val="20"/>
                <w:szCs w:val="20"/>
              </w:rPr>
              <w:t>(0.94)</w:t>
            </w:r>
          </w:p>
        </w:tc>
        <w:tc>
          <w:tcPr>
            <w:tcW w:w="0" w:type="auto"/>
            <w:shd w:val="clear" w:color="auto" w:fill="auto"/>
            <w:vAlign w:val="center"/>
          </w:tcPr>
          <w:p w14:paraId="466050AE" w14:textId="77777777" w:rsidR="00A2035B" w:rsidRDefault="00A2035B" w:rsidP="0013701C">
            <w:pPr>
              <w:jc w:val="center"/>
              <w:rPr>
                <w:rFonts w:ascii="Arial" w:hAnsi="Arial" w:cs="Arial"/>
                <w:sz w:val="20"/>
                <w:szCs w:val="20"/>
              </w:rPr>
            </w:pPr>
            <w:r>
              <w:rPr>
                <w:rFonts w:ascii="Arial" w:hAnsi="Arial" w:cs="Arial"/>
                <w:sz w:val="20"/>
                <w:szCs w:val="20"/>
              </w:rPr>
              <w:t>-0.017</w:t>
            </w:r>
          </w:p>
          <w:p w14:paraId="4C6B7616" w14:textId="4B99D2B2" w:rsidR="00A2035B" w:rsidRDefault="00A2035B" w:rsidP="0013701C">
            <w:pPr>
              <w:jc w:val="center"/>
              <w:rPr>
                <w:rFonts w:ascii="Arial" w:hAnsi="Arial" w:cs="Arial"/>
                <w:sz w:val="20"/>
                <w:szCs w:val="20"/>
              </w:rPr>
            </w:pPr>
            <w:r>
              <w:rPr>
                <w:rFonts w:ascii="Arial" w:hAnsi="Arial" w:cs="Arial"/>
                <w:sz w:val="20"/>
                <w:szCs w:val="20"/>
              </w:rPr>
              <w:t>(0.45)</w:t>
            </w:r>
          </w:p>
        </w:tc>
      </w:tr>
    </w:tbl>
    <w:p w14:paraId="623C5050" w14:textId="7803F9FA" w:rsidR="007772B0" w:rsidRDefault="007772B0" w:rsidP="007772B0">
      <w:pPr>
        <w:pStyle w:val="Heading2"/>
      </w:pPr>
      <w:bookmarkStart w:id="272" w:name="_Toc415488997"/>
      <w:bookmarkStart w:id="273" w:name="_Toc314830419"/>
      <w:r>
        <w:t>A.2 Comparison of Predicted and Observed Loads on Event-like Days</w:t>
      </w:r>
      <w:bookmarkEnd w:id="272"/>
    </w:p>
    <w:p w14:paraId="3EE1EE18" w14:textId="6A029466" w:rsidR="007772B0" w:rsidRDefault="007772B0" w:rsidP="007772B0">
      <w:r>
        <w:t>The model specification tests are based on the ability of the model to predict program load on event-</w:t>
      </w:r>
      <w:r w:rsidR="00D313D5">
        <w:t>like non-event days. Figures A.6</w:t>
      </w:r>
      <w:r>
        <w:t xml:space="preserve"> through A.</w:t>
      </w:r>
      <w:r w:rsidR="00D313D5">
        <w:t>10</w:t>
      </w:r>
      <w:r>
        <w:t xml:space="preserve"> illustrate the average predicted and observed loads across the event-like days. In each figure, the solid line represents the observed load and the dashed line represents the load predicted by the statistical model.</w:t>
      </w:r>
    </w:p>
    <w:p w14:paraId="7C77F12C" w14:textId="77777777" w:rsidR="007772B0" w:rsidRDefault="007772B0" w:rsidP="007772B0"/>
    <w:p w14:paraId="206C18C0" w14:textId="23C0995B" w:rsidR="007772B0" w:rsidRDefault="007772B0" w:rsidP="007772B0">
      <w:r w:rsidRPr="008101E7">
        <w:lastRenderedPageBreak/>
        <w:t>Figure</w:t>
      </w:r>
      <w:r w:rsidR="001A2B05" w:rsidRPr="008101E7">
        <w:t>s</w:t>
      </w:r>
      <w:r w:rsidRPr="008101E7">
        <w:t xml:space="preserve"> A.</w:t>
      </w:r>
      <w:r w:rsidR="001A2B05" w:rsidRPr="008101E7">
        <w:t>6 through A.8</w:t>
      </w:r>
      <w:r w:rsidRPr="008101E7">
        <w:t xml:space="preserve"> show that the PG&amp;E</w:t>
      </w:r>
      <w:r w:rsidR="001A2B05" w:rsidRPr="008101E7">
        <w:t xml:space="preserve"> and SCE</w:t>
      </w:r>
      <w:r w:rsidRPr="008101E7">
        <w:t xml:space="preserve"> predicted loads are quite close to the observed loads for the event-like non-event days. Figure</w:t>
      </w:r>
      <w:r w:rsidR="001A2B05" w:rsidRPr="008101E7">
        <w:t>s A.9 and A.10 show</w:t>
      </w:r>
      <w:r w:rsidRPr="008101E7">
        <w:t xml:space="preserve"> that the SDG&amp;E predicted loads are </w:t>
      </w:r>
      <w:r w:rsidR="008101E7">
        <w:t xml:space="preserve">somewhat </w:t>
      </w:r>
      <w:r w:rsidR="001A2B05" w:rsidRPr="008101E7">
        <w:t>different from</w:t>
      </w:r>
      <w:r w:rsidRPr="008101E7">
        <w:t xml:space="preserve"> the observed loads</w:t>
      </w:r>
      <w:r w:rsidR="001A2B05" w:rsidRPr="008101E7">
        <w:t xml:space="preserve"> during the afternoon</w:t>
      </w:r>
      <w:r w:rsidRPr="008101E7">
        <w:t>. In this case, much of the prediction error (and the observed spike in the early morning hours) is due to an odd observed load profile on September 6. A limited number of comparable event-like days prevents us from replacing this day in the analysis.</w:t>
      </w:r>
    </w:p>
    <w:p w14:paraId="6DFE49A6" w14:textId="77777777" w:rsidR="007772B0" w:rsidRDefault="007772B0" w:rsidP="007772B0"/>
    <w:p w14:paraId="4F5C6595" w14:textId="77777777" w:rsidR="007772B0" w:rsidRDefault="007772B0" w:rsidP="007772B0"/>
    <w:p w14:paraId="26B1DDC5" w14:textId="77777777" w:rsidR="007772B0" w:rsidRDefault="007772B0" w:rsidP="007772B0"/>
    <w:p w14:paraId="1095A3D7" w14:textId="77777777" w:rsidR="007772B0" w:rsidRDefault="007772B0" w:rsidP="007772B0"/>
    <w:p w14:paraId="3F7B5333" w14:textId="57A6F16D" w:rsidR="007772B0" w:rsidRDefault="007772B0" w:rsidP="006D0B0C">
      <w:pPr>
        <w:jc w:val="center"/>
      </w:pPr>
      <w:bookmarkStart w:id="274" w:name="_Toc415489072"/>
      <w:r w:rsidRPr="006D0B0C">
        <w:rPr>
          <w:rStyle w:val="FigureCaptionChar"/>
        </w:rPr>
        <w:t>Figure A.</w:t>
      </w:r>
      <w:r w:rsidR="00455563" w:rsidRPr="006D0B0C">
        <w:rPr>
          <w:rStyle w:val="FigureCaptionChar"/>
        </w:rPr>
        <w:t>6</w:t>
      </w:r>
      <w:r w:rsidRPr="006D0B0C">
        <w:rPr>
          <w:rStyle w:val="FigureCaptionChar"/>
        </w:rPr>
        <w:t>: Average Predicted and Observed Loads on Event-like Days, PG&amp;E</w:t>
      </w:r>
      <w:r w:rsidR="00455563" w:rsidRPr="006D0B0C">
        <w:rPr>
          <w:rStyle w:val="FigureCaptionChar"/>
        </w:rPr>
        <w:t xml:space="preserve"> Summer</w:t>
      </w:r>
      <w:bookmarkEnd w:id="274"/>
      <w:r w:rsidR="0078063E" w:rsidRPr="0078063E">
        <w:rPr>
          <w:noProof/>
        </w:rPr>
        <w:t xml:space="preserve"> </w:t>
      </w:r>
      <w:r w:rsidR="0078063E">
        <w:rPr>
          <w:noProof/>
        </w:rPr>
        <w:drawing>
          <wp:inline distT="0" distB="0" distL="0" distR="0" wp14:anchorId="6081965B" wp14:editId="509DD52B">
            <wp:extent cx="5486400" cy="3976370"/>
            <wp:effectExtent l="0" t="0" r="0" b="508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933A942" w14:textId="49177A52" w:rsidR="007772B0" w:rsidRPr="0078063E" w:rsidRDefault="0078063E" w:rsidP="006D0B0C">
      <w:pPr>
        <w:jc w:val="center"/>
        <w:rPr>
          <w:b/>
        </w:rPr>
      </w:pPr>
      <w:bookmarkStart w:id="275" w:name="_Toc415489073"/>
      <w:r w:rsidRPr="006D0B0C">
        <w:rPr>
          <w:rStyle w:val="FigureCaptionChar"/>
        </w:rPr>
        <w:lastRenderedPageBreak/>
        <w:t>Figure A.</w:t>
      </w:r>
      <w:r w:rsidR="009C40B5" w:rsidRPr="006D0B0C">
        <w:rPr>
          <w:rStyle w:val="FigureCaptionChar"/>
        </w:rPr>
        <w:t>7</w:t>
      </w:r>
      <w:r w:rsidRPr="006D0B0C">
        <w:rPr>
          <w:rStyle w:val="FigureCaptionChar"/>
        </w:rPr>
        <w:t>: Average Predicted and Observed Loads on Event-like Days, PG&amp;E Non-Summer</w:t>
      </w:r>
      <w:bookmarkEnd w:id="275"/>
      <w:r w:rsidR="009C40B5" w:rsidRPr="009C40B5">
        <w:rPr>
          <w:noProof/>
        </w:rPr>
        <w:t xml:space="preserve"> </w:t>
      </w:r>
      <w:r w:rsidR="009C40B5">
        <w:rPr>
          <w:noProof/>
        </w:rPr>
        <w:drawing>
          <wp:inline distT="0" distB="0" distL="0" distR="0" wp14:anchorId="45671084" wp14:editId="574E0251">
            <wp:extent cx="5486400" cy="3976370"/>
            <wp:effectExtent l="0" t="0" r="0" b="508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4DF15218" w14:textId="77777777" w:rsidR="007772B0" w:rsidRDefault="007772B0" w:rsidP="007772B0"/>
    <w:p w14:paraId="3DE74C25" w14:textId="75B09CC4" w:rsidR="007772B0" w:rsidRDefault="007772B0" w:rsidP="006D0B0C">
      <w:pPr>
        <w:jc w:val="center"/>
      </w:pPr>
      <w:bookmarkStart w:id="276" w:name="_Toc415489074"/>
      <w:r w:rsidRPr="006D0B0C">
        <w:rPr>
          <w:rStyle w:val="FigureCaptionChar"/>
        </w:rPr>
        <w:lastRenderedPageBreak/>
        <w:t>Figure A.</w:t>
      </w:r>
      <w:r w:rsidR="00455563" w:rsidRPr="006D0B0C">
        <w:rPr>
          <w:rStyle w:val="FigureCaptionChar"/>
        </w:rPr>
        <w:t>8</w:t>
      </w:r>
      <w:r w:rsidRPr="006D0B0C">
        <w:rPr>
          <w:rStyle w:val="FigureCaptionChar"/>
        </w:rPr>
        <w:t>: Average Predicted and Observed Loads on Event-like Days, SCE</w:t>
      </w:r>
      <w:r w:rsidR="00455563" w:rsidRPr="006D0B0C">
        <w:rPr>
          <w:rStyle w:val="FigureCaptionChar"/>
        </w:rPr>
        <w:t xml:space="preserve"> Non-Summer</w:t>
      </w:r>
      <w:bookmarkEnd w:id="276"/>
      <w:r w:rsidR="00A673C1" w:rsidRPr="00A673C1">
        <w:rPr>
          <w:noProof/>
        </w:rPr>
        <w:t xml:space="preserve"> </w:t>
      </w:r>
      <w:r w:rsidR="00AF59B9">
        <w:rPr>
          <w:noProof/>
        </w:rPr>
        <w:drawing>
          <wp:inline distT="0" distB="0" distL="0" distR="0" wp14:anchorId="137AFBC0" wp14:editId="39AAA73B">
            <wp:extent cx="5486400" cy="398145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6D60F0B8" w14:textId="5A9D7165" w:rsidR="007772B0" w:rsidRDefault="007772B0" w:rsidP="007772B0">
      <w:pPr>
        <w:keepNext/>
        <w:keepLines/>
      </w:pPr>
    </w:p>
    <w:p w14:paraId="3AFFB569" w14:textId="77777777" w:rsidR="007772B0" w:rsidRDefault="007772B0" w:rsidP="007772B0"/>
    <w:p w14:paraId="20386E4F" w14:textId="77777777" w:rsidR="00675879" w:rsidRPr="008B552C" w:rsidRDefault="007772B0" w:rsidP="00675879">
      <w:pPr>
        <w:keepNext/>
        <w:keepLines/>
        <w:jc w:val="center"/>
      </w:pPr>
      <w:bookmarkStart w:id="277" w:name="_Toc415489075"/>
      <w:r w:rsidRPr="006D0B0C">
        <w:rPr>
          <w:rStyle w:val="FigureCaptionChar"/>
        </w:rPr>
        <w:t>Figure A.</w:t>
      </w:r>
      <w:r w:rsidR="00455563" w:rsidRPr="006D0B0C">
        <w:rPr>
          <w:rStyle w:val="FigureCaptionChar"/>
        </w:rPr>
        <w:t>9</w:t>
      </w:r>
      <w:r w:rsidRPr="006D0B0C">
        <w:rPr>
          <w:rStyle w:val="FigureCaptionChar"/>
        </w:rPr>
        <w:t xml:space="preserve">: Average Predicted and Observed Loads on Event-like Days, SDG&amp;E </w:t>
      </w:r>
      <w:r w:rsidR="00455563" w:rsidRPr="006D0B0C">
        <w:rPr>
          <w:rStyle w:val="FigureCaptionChar"/>
        </w:rPr>
        <w:t>Summer</w:t>
      </w:r>
      <w:bookmarkEnd w:id="277"/>
      <w:r w:rsidR="00A673C1" w:rsidRPr="00A673C1">
        <w:rPr>
          <w:noProof/>
        </w:rPr>
        <w:t xml:space="preserve"> </w:t>
      </w:r>
      <w:r w:rsidR="00675879">
        <w:t>Results removed due to confidentiality concerns.</w:t>
      </w:r>
    </w:p>
    <w:p w14:paraId="7EDF4CA4" w14:textId="3C97A241" w:rsidR="007772B0" w:rsidRDefault="007772B0" w:rsidP="006D0B0C">
      <w:pPr>
        <w:jc w:val="center"/>
      </w:pPr>
    </w:p>
    <w:p w14:paraId="578C2511" w14:textId="6514234E" w:rsidR="007772B0" w:rsidRDefault="007772B0" w:rsidP="007772B0">
      <w:pPr>
        <w:keepNext/>
        <w:keepLines/>
      </w:pPr>
    </w:p>
    <w:p w14:paraId="3676CFD3" w14:textId="77777777" w:rsidR="007772B0" w:rsidRDefault="007772B0" w:rsidP="007772B0"/>
    <w:p w14:paraId="070F928B" w14:textId="2FEC863F" w:rsidR="007772B0" w:rsidRPr="006D0B0C" w:rsidRDefault="00455563" w:rsidP="006D0B0C">
      <w:pPr>
        <w:jc w:val="center"/>
      </w:pPr>
      <w:bookmarkStart w:id="278" w:name="_Toc415489076"/>
      <w:r w:rsidRPr="006D0B0C">
        <w:rPr>
          <w:rStyle w:val="FigureCaptionChar"/>
        </w:rPr>
        <w:t>Figure A.10</w:t>
      </w:r>
      <w:r w:rsidR="007772B0" w:rsidRPr="006D0B0C">
        <w:rPr>
          <w:rStyle w:val="FigureCaptionChar"/>
        </w:rPr>
        <w:t>: Average Predicted and Observed Loads on Event-like Days, SDG&amp;E</w:t>
      </w:r>
      <w:r w:rsidRPr="006D0B0C">
        <w:rPr>
          <w:rStyle w:val="FigureCaptionChar"/>
        </w:rPr>
        <w:t xml:space="preserve"> Non-Summer</w:t>
      </w:r>
      <w:bookmarkEnd w:id="278"/>
      <w:r w:rsidR="001A2B05" w:rsidRPr="001A2B05">
        <w:rPr>
          <w:noProof/>
        </w:rPr>
        <w:t xml:space="preserve"> </w:t>
      </w:r>
    </w:p>
    <w:p w14:paraId="5548530A" w14:textId="77777777" w:rsidR="00675879" w:rsidRPr="008B552C" w:rsidRDefault="00675879" w:rsidP="00675879">
      <w:pPr>
        <w:keepNext/>
        <w:keepLines/>
        <w:jc w:val="center"/>
      </w:pPr>
      <w:r>
        <w:t>Results removed due to confidentiality concerns.</w:t>
      </w:r>
    </w:p>
    <w:p w14:paraId="7B759D82" w14:textId="509B4B97" w:rsidR="007772B0" w:rsidRDefault="007772B0" w:rsidP="007772B0">
      <w:pPr>
        <w:keepNext/>
        <w:keepLines/>
      </w:pPr>
    </w:p>
    <w:p w14:paraId="6A287B36" w14:textId="77777777" w:rsidR="007772B0" w:rsidRDefault="007772B0" w:rsidP="007772B0"/>
    <w:p w14:paraId="2E0BB18B" w14:textId="77777777" w:rsidR="007772B0" w:rsidRDefault="007772B0" w:rsidP="007772B0">
      <w:pPr>
        <w:pStyle w:val="Heading2"/>
      </w:pPr>
      <w:bookmarkStart w:id="279" w:name="_Toc415488998"/>
      <w:r>
        <w:t>A.3 Refinement of Customer-Level Models</w:t>
      </w:r>
      <w:bookmarkEnd w:id="273"/>
      <w:bookmarkEnd w:id="279"/>
    </w:p>
    <w:p w14:paraId="11A6DCB1" w14:textId="4EB65CF5" w:rsidR="007772B0" w:rsidRDefault="007772B0" w:rsidP="007772B0">
      <w:r>
        <w:t xml:space="preserve">While the specification tests described in Section A.1 were conducted on aggregated load profiles for each utility, the ex post load impacts are derived from the results of customer-level models. We examined the estimated load impacts from these models to determine whether any modifications to the estimates are required. We do this by comparing the observed hourly event-day loads to the observed loads from similar days to determine a "day matching" load impact that may be compared to the estimated load </w:t>
      </w:r>
      <w:r>
        <w:lastRenderedPageBreak/>
        <w:t xml:space="preserve">impacts. </w:t>
      </w:r>
      <w:r w:rsidRPr="00F75E1C">
        <w:t xml:space="preserve">In this evaluation, </w:t>
      </w:r>
      <w:r w:rsidR="00B6034B" w:rsidRPr="00F75E1C">
        <w:t xml:space="preserve">we </w:t>
      </w:r>
      <w:r w:rsidRPr="00F75E1C">
        <w:t>modif</w:t>
      </w:r>
      <w:r w:rsidR="00B6034B" w:rsidRPr="00F75E1C">
        <w:t>ied</w:t>
      </w:r>
      <w:r w:rsidRPr="00F75E1C">
        <w:t xml:space="preserve"> the estimated load impacts </w:t>
      </w:r>
      <w:r w:rsidR="00B6034B" w:rsidRPr="00F75E1C">
        <w:t xml:space="preserve">for only PG&amp;E’s 2/6/2014 event for two SAIDs </w:t>
      </w:r>
      <w:r w:rsidRPr="00F75E1C">
        <w:t>as a result of these inspections.</w:t>
      </w:r>
      <w:r w:rsidR="00F75E1C">
        <w:t xml:space="preserve"> For these customer/events, a 5-in-5 baseline appeared to better reflect the customer’s behavior on the event day. For example, one of the customers had significantly higher loads somewhat after the event day, which increased the reference load in the regression-based models. In contrast, the 5-in-5 baseline method </w:t>
      </w:r>
      <w:r w:rsidR="00A06F05">
        <w:t>appeared to more correctly reflect the customer’s usage level around the date of the event.</w:t>
      </w:r>
    </w:p>
    <w:p w14:paraId="08718824" w14:textId="1DCDB227" w:rsidR="00186DFA" w:rsidRDefault="00186DFA" w:rsidP="00186DFA">
      <w:pPr>
        <w:pStyle w:val="Heading2"/>
      </w:pPr>
      <w:bookmarkStart w:id="280" w:name="_Toc415488999"/>
      <w:r>
        <w:t>A.4 Comparison of 15-minute and 60-minutes Estimates</w:t>
      </w:r>
      <w:bookmarkEnd w:id="280"/>
    </w:p>
    <w:p w14:paraId="496D38CF" w14:textId="3D707076" w:rsidR="007772B0" w:rsidRDefault="00186DFA" w:rsidP="00186DFA">
      <w:r>
        <w:t xml:space="preserve">PG&amp;E provided 15-minute interval data, which allowed us to estimate load impacts using a 15-minute resolution in addition to the typical 60-minute resolution. Because the BIP events don’t always line up neatly to one-hour increments, it can be useful to compare the 15-minute and 60-minute estimates. Figure A.11 shows the estimated load impacts for the two full-program events (February 6 and September 11) using both data resolutions. Encouragingly, the estimates from the two methods match up quite well. </w:t>
      </w:r>
    </w:p>
    <w:p w14:paraId="41786F5C" w14:textId="77777777" w:rsidR="00186DFA" w:rsidRDefault="00186DFA" w:rsidP="00186DFA"/>
    <w:p w14:paraId="6B19C86C" w14:textId="365D2128" w:rsidR="00186DFA" w:rsidRDefault="00086A3F" w:rsidP="00186DFA">
      <w:pPr>
        <w:pStyle w:val="FigureCaption"/>
      </w:pPr>
      <w:bookmarkStart w:id="281" w:name="_Toc415489077"/>
      <w:r>
        <w:t xml:space="preserve">Figure </w:t>
      </w:r>
      <w:r w:rsidR="00186DFA">
        <w:t>A.11: Comparison of 15-minute and 60-minute Load Impact Estimates, PG&amp;E</w:t>
      </w:r>
      <w:bookmarkEnd w:id="281"/>
    </w:p>
    <w:p w14:paraId="564A7005" w14:textId="5A5DB476" w:rsidR="00186DFA" w:rsidRDefault="00186DFA" w:rsidP="00186DFA">
      <w:r>
        <w:rPr>
          <w:noProof/>
        </w:rPr>
        <w:drawing>
          <wp:inline distT="0" distB="0" distL="0" distR="0" wp14:anchorId="57E0FDA4" wp14:editId="16FF7F52">
            <wp:extent cx="5486400" cy="3981450"/>
            <wp:effectExtent l="0" t="0" r="0" b="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39981C13" w14:textId="77777777" w:rsidR="00186DFA" w:rsidRDefault="00186DFA" w:rsidP="00186DFA"/>
    <w:p w14:paraId="1B79D155" w14:textId="77777777" w:rsidR="00186DFA" w:rsidRDefault="00186DFA" w:rsidP="00186DFA"/>
    <w:p w14:paraId="6545CAC2" w14:textId="77777777" w:rsidR="00AC500D" w:rsidRDefault="00AC500D">
      <w:pPr>
        <w:rPr>
          <w:rFonts w:ascii="Arial" w:hAnsi="Arial" w:cs="Arial"/>
          <w:b/>
          <w:bCs/>
          <w:kern w:val="32"/>
          <w:sz w:val="32"/>
          <w:szCs w:val="32"/>
        </w:rPr>
      </w:pPr>
      <w:r>
        <w:br w:type="page"/>
      </w:r>
    </w:p>
    <w:p w14:paraId="0D1CF83B" w14:textId="35F6B23A" w:rsidR="00AC500D" w:rsidRDefault="00AC500D" w:rsidP="00AC500D">
      <w:pPr>
        <w:pStyle w:val="Heading1"/>
      </w:pPr>
      <w:bookmarkStart w:id="282" w:name="_Toc415489000"/>
      <w:r>
        <w:lastRenderedPageBreak/>
        <w:t>Appendix B</w:t>
      </w:r>
      <w:r w:rsidRPr="002A17C1">
        <w:t xml:space="preserve">. </w:t>
      </w:r>
      <w:r>
        <w:t>FSL Achievement by Industry Group</w:t>
      </w:r>
      <w:bookmarkEnd w:id="282"/>
    </w:p>
    <w:p w14:paraId="7F17B717" w14:textId="3AEC4BFC" w:rsidR="00AC500D" w:rsidRDefault="00AC500D" w:rsidP="00AC500D">
      <w:r>
        <w:t>This appendix contains tables showing the FSL achievement by industry group and hour (relative to the called event window) for the events used as the basis for the ex ante load impacts. FSL achievement is defined as the estimated ex post load impact divided by the difference between the reference load and the FSL. The denominator represents the load impact required to exactly meet the customer’s BIP obligation.</w:t>
      </w:r>
      <w:r w:rsidR="00C81717">
        <w:t xml:space="preserve"> Because BIP events do not always begin and end on the hour, the hours before and after the event are not always well-defined. The notes following each table indicate the included hours.</w:t>
      </w:r>
    </w:p>
    <w:p w14:paraId="4BD7D7C1" w14:textId="77777777" w:rsidR="00AC500D" w:rsidRPr="00AC500D" w:rsidRDefault="00AC500D" w:rsidP="00AC500D"/>
    <w:p w14:paraId="372E280A" w14:textId="61B4807D" w:rsidR="00AC500D" w:rsidRPr="00852320" w:rsidRDefault="00AC500D" w:rsidP="00AC500D">
      <w:pPr>
        <w:pStyle w:val="TableCaption"/>
        <w:keepNext/>
        <w:keepLines/>
        <w:rPr>
          <w:i/>
        </w:rPr>
      </w:pPr>
      <w:bookmarkStart w:id="283" w:name="_Toc415489044"/>
      <w:r>
        <w:t>Table B.1</w:t>
      </w:r>
      <w:r w:rsidRPr="00852320">
        <w:t xml:space="preserve">: </w:t>
      </w:r>
      <w:r>
        <w:t>September 11, 2014 Over/Under Performance – PG&amp;E BI</w:t>
      </w:r>
      <w:r w:rsidRPr="00852320">
        <w:t xml:space="preserve">P, </w:t>
      </w:r>
      <w:r w:rsidRPr="00852320">
        <w:rPr>
          <w:i/>
        </w:rPr>
        <w:t>by Industry Group</w:t>
      </w:r>
      <w:r>
        <w:rPr>
          <w:i/>
        </w:rPr>
        <w:t xml:space="preserve"> and Event Hour</w:t>
      </w:r>
      <w:bookmarkEnd w:id="28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1498"/>
        <w:gridCol w:w="1487"/>
        <w:gridCol w:w="1473"/>
        <w:gridCol w:w="1365"/>
      </w:tblGrid>
      <w:tr w:rsidR="00AC500D" w14:paraId="012E4BA2" w14:textId="77777777" w:rsidTr="00D12ED1">
        <w:trPr>
          <w:jc w:val="center"/>
        </w:trPr>
        <w:tc>
          <w:tcPr>
            <w:tcW w:w="0" w:type="auto"/>
            <w:vMerge w:val="restart"/>
            <w:shd w:val="clear" w:color="auto" w:fill="D9E2F3"/>
            <w:vAlign w:val="center"/>
          </w:tcPr>
          <w:p w14:paraId="00C2E047" w14:textId="77777777" w:rsidR="00AC500D" w:rsidRPr="007E0A27" w:rsidRDefault="00AC500D" w:rsidP="00AC500D">
            <w:pPr>
              <w:keepNext/>
              <w:keepLines/>
              <w:jc w:val="center"/>
              <w:rPr>
                <w:rFonts w:ascii="Arial" w:hAnsi="Arial" w:cs="Arial"/>
                <w:b/>
                <w:sz w:val="20"/>
                <w:szCs w:val="20"/>
              </w:rPr>
            </w:pPr>
            <w:r w:rsidRPr="007E0A27">
              <w:rPr>
                <w:rFonts w:ascii="Arial" w:hAnsi="Arial" w:cs="Arial"/>
                <w:b/>
                <w:sz w:val="20"/>
                <w:szCs w:val="20"/>
              </w:rPr>
              <w:t>Industry Group</w:t>
            </w:r>
          </w:p>
        </w:tc>
        <w:tc>
          <w:tcPr>
            <w:tcW w:w="0" w:type="auto"/>
            <w:gridSpan w:val="4"/>
            <w:shd w:val="clear" w:color="auto" w:fill="D9E2F3"/>
            <w:vAlign w:val="center"/>
          </w:tcPr>
          <w:p w14:paraId="4F22B2B3"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Percent Over/Under Performance</w:t>
            </w:r>
          </w:p>
        </w:tc>
      </w:tr>
      <w:tr w:rsidR="00AC500D" w14:paraId="18D5389E" w14:textId="77777777" w:rsidTr="00D12ED1">
        <w:trPr>
          <w:jc w:val="center"/>
        </w:trPr>
        <w:tc>
          <w:tcPr>
            <w:tcW w:w="0" w:type="auto"/>
            <w:vMerge/>
            <w:shd w:val="clear" w:color="auto" w:fill="D9E2F3"/>
            <w:vAlign w:val="center"/>
          </w:tcPr>
          <w:p w14:paraId="6818332E" w14:textId="77777777" w:rsidR="00AC500D" w:rsidRPr="007E0A27" w:rsidRDefault="00AC500D" w:rsidP="00AC500D">
            <w:pPr>
              <w:keepNext/>
              <w:keepLines/>
              <w:jc w:val="center"/>
              <w:rPr>
                <w:rFonts w:ascii="Arial" w:hAnsi="Arial" w:cs="Arial"/>
                <w:b/>
                <w:sz w:val="20"/>
                <w:szCs w:val="20"/>
              </w:rPr>
            </w:pPr>
          </w:p>
        </w:tc>
        <w:tc>
          <w:tcPr>
            <w:tcW w:w="0" w:type="auto"/>
            <w:shd w:val="clear" w:color="auto" w:fill="D9E2F3"/>
            <w:vAlign w:val="center"/>
          </w:tcPr>
          <w:p w14:paraId="037067CC" w14:textId="77777777" w:rsidR="00AC500D" w:rsidRDefault="00AC500D" w:rsidP="00AC500D">
            <w:pPr>
              <w:keepNext/>
              <w:keepLines/>
              <w:jc w:val="center"/>
              <w:rPr>
                <w:rFonts w:ascii="Arial" w:hAnsi="Arial" w:cs="Arial"/>
                <w:b/>
                <w:sz w:val="20"/>
                <w:szCs w:val="20"/>
              </w:rPr>
            </w:pPr>
            <w:r>
              <w:rPr>
                <w:rFonts w:ascii="Arial" w:hAnsi="Arial" w:cs="Arial"/>
                <w:b/>
                <w:sz w:val="20"/>
                <w:szCs w:val="20"/>
              </w:rPr>
              <w:t>Hour Before Event</w:t>
            </w:r>
          </w:p>
        </w:tc>
        <w:tc>
          <w:tcPr>
            <w:tcW w:w="0" w:type="auto"/>
            <w:shd w:val="clear" w:color="auto" w:fill="D9E2F3"/>
            <w:vAlign w:val="center"/>
          </w:tcPr>
          <w:p w14:paraId="0A4AB443"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First Hour of Event</w:t>
            </w:r>
          </w:p>
        </w:tc>
        <w:tc>
          <w:tcPr>
            <w:tcW w:w="0" w:type="auto"/>
            <w:shd w:val="clear" w:color="auto" w:fill="D9E2F3"/>
            <w:vAlign w:val="center"/>
          </w:tcPr>
          <w:p w14:paraId="6EF215D3"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Last Hour of Event</w:t>
            </w:r>
          </w:p>
        </w:tc>
        <w:tc>
          <w:tcPr>
            <w:tcW w:w="0" w:type="auto"/>
            <w:shd w:val="clear" w:color="auto" w:fill="D9E2F3"/>
            <w:vAlign w:val="center"/>
          </w:tcPr>
          <w:p w14:paraId="583C354A"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Hour After Event</w:t>
            </w:r>
          </w:p>
        </w:tc>
      </w:tr>
      <w:tr w:rsidR="00AC500D" w14:paraId="4D9D41AC" w14:textId="77777777" w:rsidTr="00D12ED1">
        <w:trPr>
          <w:jc w:val="center"/>
        </w:trPr>
        <w:tc>
          <w:tcPr>
            <w:tcW w:w="0" w:type="auto"/>
            <w:vAlign w:val="center"/>
          </w:tcPr>
          <w:p w14:paraId="46E9CBFB"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Agriculture, Mining, &amp; Construction</w:t>
            </w:r>
          </w:p>
        </w:tc>
        <w:tc>
          <w:tcPr>
            <w:tcW w:w="0" w:type="auto"/>
            <w:vAlign w:val="center"/>
          </w:tcPr>
          <w:p w14:paraId="12433A12"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29%</w:t>
            </w:r>
          </w:p>
        </w:tc>
        <w:tc>
          <w:tcPr>
            <w:tcW w:w="0" w:type="auto"/>
            <w:vAlign w:val="center"/>
          </w:tcPr>
          <w:p w14:paraId="38178EDE"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101%</w:t>
            </w:r>
          </w:p>
        </w:tc>
        <w:tc>
          <w:tcPr>
            <w:tcW w:w="0" w:type="auto"/>
            <w:vAlign w:val="center"/>
          </w:tcPr>
          <w:p w14:paraId="7AD0BBAD"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104%</w:t>
            </w:r>
          </w:p>
        </w:tc>
        <w:tc>
          <w:tcPr>
            <w:tcW w:w="0" w:type="auto"/>
            <w:vAlign w:val="center"/>
          </w:tcPr>
          <w:p w14:paraId="34BCE4AB"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61%</w:t>
            </w:r>
          </w:p>
        </w:tc>
      </w:tr>
      <w:tr w:rsidR="00AC500D" w14:paraId="3F0D4BCF" w14:textId="77777777" w:rsidTr="00D12ED1">
        <w:trPr>
          <w:jc w:val="center"/>
        </w:trPr>
        <w:tc>
          <w:tcPr>
            <w:tcW w:w="0" w:type="auto"/>
            <w:vAlign w:val="center"/>
          </w:tcPr>
          <w:p w14:paraId="24ED3D40"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Manufacturing</w:t>
            </w:r>
          </w:p>
        </w:tc>
        <w:tc>
          <w:tcPr>
            <w:tcW w:w="0" w:type="auto"/>
            <w:vAlign w:val="center"/>
          </w:tcPr>
          <w:p w14:paraId="3C538AF4"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26%</w:t>
            </w:r>
          </w:p>
        </w:tc>
        <w:tc>
          <w:tcPr>
            <w:tcW w:w="0" w:type="auto"/>
            <w:vAlign w:val="center"/>
          </w:tcPr>
          <w:p w14:paraId="6C069026"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101%</w:t>
            </w:r>
          </w:p>
        </w:tc>
        <w:tc>
          <w:tcPr>
            <w:tcW w:w="0" w:type="auto"/>
            <w:vAlign w:val="center"/>
          </w:tcPr>
          <w:p w14:paraId="52D4F605"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102%</w:t>
            </w:r>
          </w:p>
        </w:tc>
        <w:tc>
          <w:tcPr>
            <w:tcW w:w="0" w:type="auto"/>
            <w:vAlign w:val="center"/>
          </w:tcPr>
          <w:p w14:paraId="4EEEED2A"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56%</w:t>
            </w:r>
          </w:p>
        </w:tc>
      </w:tr>
      <w:tr w:rsidR="00AC500D" w14:paraId="4164C4F4" w14:textId="77777777" w:rsidTr="00D12ED1">
        <w:trPr>
          <w:jc w:val="center"/>
        </w:trPr>
        <w:tc>
          <w:tcPr>
            <w:tcW w:w="0" w:type="auto"/>
            <w:vAlign w:val="center"/>
          </w:tcPr>
          <w:p w14:paraId="7C221F15"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Wholesale, Transportation, &amp; Other Utilities</w:t>
            </w:r>
          </w:p>
        </w:tc>
        <w:tc>
          <w:tcPr>
            <w:tcW w:w="0" w:type="auto"/>
            <w:vAlign w:val="center"/>
          </w:tcPr>
          <w:p w14:paraId="440F757F"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26%</w:t>
            </w:r>
          </w:p>
        </w:tc>
        <w:tc>
          <w:tcPr>
            <w:tcW w:w="0" w:type="auto"/>
            <w:vAlign w:val="center"/>
          </w:tcPr>
          <w:p w14:paraId="201B4F32"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99%</w:t>
            </w:r>
          </w:p>
        </w:tc>
        <w:tc>
          <w:tcPr>
            <w:tcW w:w="0" w:type="auto"/>
            <w:vAlign w:val="center"/>
          </w:tcPr>
          <w:p w14:paraId="52BA04A2"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101%</w:t>
            </w:r>
          </w:p>
        </w:tc>
        <w:tc>
          <w:tcPr>
            <w:tcW w:w="0" w:type="auto"/>
            <w:vAlign w:val="center"/>
          </w:tcPr>
          <w:p w14:paraId="4550A207"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41%</w:t>
            </w:r>
          </w:p>
        </w:tc>
      </w:tr>
      <w:tr w:rsidR="00AC500D" w14:paraId="49D53B3D" w14:textId="77777777" w:rsidTr="00D12ED1">
        <w:trPr>
          <w:jc w:val="center"/>
        </w:trPr>
        <w:tc>
          <w:tcPr>
            <w:tcW w:w="0" w:type="auto"/>
            <w:vAlign w:val="center"/>
          </w:tcPr>
          <w:p w14:paraId="51E49962"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Retail Stores</w:t>
            </w:r>
          </w:p>
        </w:tc>
        <w:tc>
          <w:tcPr>
            <w:tcW w:w="0" w:type="auto"/>
            <w:vAlign w:val="center"/>
          </w:tcPr>
          <w:p w14:paraId="49DD2F26"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16%</w:t>
            </w:r>
          </w:p>
        </w:tc>
        <w:tc>
          <w:tcPr>
            <w:tcW w:w="0" w:type="auto"/>
            <w:vAlign w:val="center"/>
          </w:tcPr>
          <w:p w14:paraId="4566A9E2"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65%</w:t>
            </w:r>
          </w:p>
        </w:tc>
        <w:tc>
          <w:tcPr>
            <w:tcW w:w="0" w:type="auto"/>
            <w:vAlign w:val="center"/>
          </w:tcPr>
          <w:p w14:paraId="0E901E38"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79%</w:t>
            </w:r>
          </w:p>
        </w:tc>
        <w:tc>
          <w:tcPr>
            <w:tcW w:w="0" w:type="auto"/>
            <w:vAlign w:val="center"/>
          </w:tcPr>
          <w:p w14:paraId="49E3F906"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10%</w:t>
            </w:r>
          </w:p>
        </w:tc>
      </w:tr>
      <w:tr w:rsidR="00AC500D" w14:paraId="0C0C92A2" w14:textId="77777777" w:rsidTr="00D12ED1">
        <w:trPr>
          <w:jc w:val="center"/>
        </w:trPr>
        <w:tc>
          <w:tcPr>
            <w:tcW w:w="0" w:type="auto"/>
            <w:vAlign w:val="center"/>
          </w:tcPr>
          <w:p w14:paraId="144E67C2"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Offices, Hotels, Health, Services</w:t>
            </w:r>
          </w:p>
        </w:tc>
        <w:tc>
          <w:tcPr>
            <w:tcW w:w="0" w:type="auto"/>
            <w:vAlign w:val="center"/>
          </w:tcPr>
          <w:p w14:paraId="1EEF33BA"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14%</w:t>
            </w:r>
          </w:p>
        </w:tc>
        <w:tc>
          <w:tcPr>
            <w:tcW w:w="0" w:type="auto"/>
            <w:vAlign w:val="center"/>
          </w:tcPr>
          <w:p w14:paraId="59A02D87"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114%</w:t>
            </w:r>
          </w:p>
        </w:tc>
        <w:tc>
          <w:tcPr>
            <w:tcW w:w="0" w:type="auto"/>
            <w:vAlign w:val="center"/>
          </w:tcPr>
          <w:p w14:paraId="70FF6E67"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115%</w:t>
            </w:r>
          </w:p>
        </w:tc>
        <w:tc>
          <w:tcPr>
            <w:tcW w:w="0" w:type="auto"/>
            <w:vAlign w:val="center"/>
          </w:tcPr>
          <w:p w14:paraId="123B67DF"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31%</w:t>
            </w:r>
          </w:p>
        </w:tc>
      </w:tr>
      <w:tr w:rsidR="00AC500D" w14:paraId="3A96984C" w14:textId="77777777" w:rsidTr="00D12ED1">
        <w:trPr>
          <w:jc w:val="center"/>
        </w:trPr>
        <w:tc>
          <w:tcPr>
            <w:tcW w:w="0" w:type="auto"/>
            <w:vAlign w:val="center"/>
          </w:tcPr>
          <w:p w14:paraId="5962024E"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Entertainment, Other Services, Government</w:t>
            </w:r>
          </w:p>
        </w:tc>
        <w:tc>
          <w:tcPr>
            <w:tcW w:w="0" w:type="auto"/>
            <w:vAlign w:val="center"/>
          </w:tcPr>
          <w:p w14:paraId="1FFF3FAE"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17%</w:t>
            </w:r>
          </w:p>
        </w:tc>
        <w:tc>
          <w:tcPr>
            <w:tcW w:w="0" w:type="auto"/>
            <w:vAlign w:val="center"/>
          </w:tcPr>
          <w:p w14:paraId="1E3ACBC8"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83%</w:t>
            </w:r>
          </w:p>
        </w:tc>
        <w:tc>
          <w:tcPr>
            <w:tcW w:w="0" w:type="auto"/>
            <w:vAlign w:val="center"/>
          </w:tcPr>
          <w:p w14:paraId="50A87BC4"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85%</w:t>
            </w:r>
          </w:p>
        </w:tc>
        <w:tc>
          <w:tcPr>
            <w:tcW w:w="0" w:type="auto"/>
            <w:vAlign w:val="center"/>
          </w:tcPr>
          <w:p w14:paraId="6AA0EC50"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26%</w:t>
            </w:r>
          </w:p>
        </w:tc>
      </w:tr>
      <w:tr w:rsidR="00AC500D" w14:paraId="3FBEFBCC" w14:textId="77777777" w:rsidTr="00D12ED1">
        <w:trPr>
          <w:jc w:val="center"/>
        </w:trPr>
        <w:tc>
          <w:tcPr>
            <w:tcW w:w="0" w:type="auto"/>
            <w:vAlign w:val="center"/>
          </w:tcPr>
          <w:p w14:paraId="3E5D7047"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Other or Unknown</w:t>
            </w:r>
          </w:p>
        </w:tc>
        <w:tc>
          <w:tcPr>
            <w:tcW w:w="0" w:type="auto"/>
            <w:vAlign w:val="center"/>
          </w:tcPr>
          <w:p w14:paraId="21A93760"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17%</w:t>
            </w:r>
          </w:p>
        </w:tc>
        <w:tc>
          <w:tcPr>
            <w:tcW w:w="0" w:type="auto"/>
            <w:vAlign w:val="center"/>
          </w:tcPr>
          <w:p w14:paraId="73BE20B5"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101%</w:t>
            </w:r>
          </w:p>
        </w:tc>
        <w:tc>
          <w:tcPr>
            <w:tcW w:w="0" w:type="auto"/>
            <w:vAlign w:val="center"/>
          </w:tcPr>
          <w:p w14:paraId="5FF9C0DB"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101%</w:t>
            </w:r>
          </w:p>
        </w:tc>
        <w:tc>
          <w:tcPr>
            <w:tcW w:w="0" w:type="auto"/>
            <w:vAlign w:val="center"/>
          </w:tcPr>
          <w:p w14:paraId="0B686A34"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76%</w:t>
            </w:r>
          </w:p>
        </w:tc>
      </w:tr>
      <w:tr w:rsidR="00AC500D" w14:paraId="5AAAA814" w14:textId="77777777" w:rsidTr="00D12ED1">
        <w:trPr>
          <w:jc w:val="center"/>
        </w:trPr>
        <w:tc>
          <w:tcPr>
            <w:tcW w:w="0" w:type="auto"/>
          </w:tcPr>
          <w:p w14:paraId="1CCE8FB6" w14:textId="77777777" w:rsidR="00AC500D" w:rsidRPr="007E0A27" w:rsidRDefault="00AC500D" w:rsidP="00AC500D">
            <w:pPr>
              <w:keepNext/>
              <w:keepLines/>
              <w:rPr>
                <w:rFonts w:ascii="Arial" w:hAnsi="Arial" w:cs="Arial"/>
                <w:b/>
                <w:sz w:val="20"/>
                <w:szCs w:val="20"/>
              </w:rPr>
            </w:pPr>
            <w:r>
              <w:rPr>
                <w:rFonts w:ascii="Arial" w:hAnsi="Arial" w:cs="Arial"/>
                <w:b/>
                <w:sz w:val="20"/>
                <w:szCs w:val="20"/>
              </w:rPr>
              <w:t>All Customers</w:t>
            </w:r>
          </w:p>
        </w:tc>
        <w:tc>
          <w:tcPr>
            <w:tcW w:w="0" w:type="auto"/>
            <w:vAlign w:val="center"/>
          </w:tcPr>
          <w:p w14:paraId="3B6C0159"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26%</w:t>
            </w:r>
          </w:p>
        </w:tc>
        <w:tc>
          <w:tcPr>
            <w:tcW w:w="0" w:type="auto"/>
            <w:vAlign w:val="center"/>
          </w:tcPr>
          <w:p w14:paraId="397C9111"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101%</w:t>
            </w:r>
          </w:p>
        </w:tc>
        <w:tc>
          <w:tcPr>
            <w:tcW w:w="0" w:type="auto"/>
            <w:vAlign w:val="center"/>
          </w:tcPr>
          <w:p w14:paraId="7AD61BEE"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103%</w:t>
            </w:r>
          </w:p>
        </w:tc>
        <w:tc>
          <w:tcPr>
            <w:tcW w:w="0" w:type="auto"/>
            <w:vAlign w:val="center"/>
          </w:tcPr>
          <w:p w14:paraId="02FA62BD"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52%</w:t>
            </w:r>
          </w:p>
        </w:tc>
      </w:tr>
    </w:tbl>
    <w:p w14:paraId="5FFEE2AE" w14:textId="77777777" w:rsidR="00AC500D" w:rsidRDefault="00AC500D" w:rsidP="00AC500D">
      <w:pPr>
        <w:keepNext/>
        <w:keepLines/>
      </w:pPr>
      <w:r>
        <w:t>(HE14, HE15, HE16, and HE17 shown)</w:t>
      </w:r>
    </w:p>
    <w:p w14:paraId="504B0EC4" w14:textId="77777777" w:rsidR="00AC500D" w:rsidRDefault="00AC500D" w:rsidP="00AC500D"/>
    <w:p w14:paraId="6A826212" w14:textId="23D6D105" w:rsidR="00AC500D" w:rsidRPr="00852320" w:rsidRDefault="00AC500D" w:rsidP="00AC500D">
      <w:pPr>
        <w:pStyle w:val="TableCaption"/>
        <w:keepNext/>
        <w:keepLines/>
        <w:rPr>
          <w:i/>
        </w:rPr>
      </w:pPr>
      <w:bookmarkStart w:id="284" w:name="_Toc415489045"/>
      <w:r>
        <w:t>Table B.2</w:t>
      </w:r>
      <w:r w:rsidRPr="00852320">
        <w:t xml:space="preserve">: </w:t>
      </w:r>
      <w:r>
        <w:t>February 6, 2014 Over/Under Performance – SCE BI</w:t>
      </w:r>
      <w:r w:rsidRPr="00852320">
        <w:t xml:space="preserve">P, </w:t>
      </w:r>
      <w:r w:rsidRPr="00852320">
        <w:rPr>
          <w:i/>
        </w:rPr>
        <w:t>by Industry Group</w:t>
      </w:r>
      <w:r>
        <w:rPr>
          <w:i/>
        </w:rPr>
        <w:t xml:space="preserve"> and Event Hour</w:t>
      </w:r>
      <w:bookmarkEnd w:id="2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1498"/>
        <w:gridCol w:w="1487"/>
        <w:gridCol w:w="1473"/>
        <w:gridCol w:w="1365"/>
      </w:tblGrid>
      <w:tr w:rsidR="00AC500D" w14:paraId="2841F252" w14:textId="77777777" w:rsidTr="00D12ED1">
        <w:trPr>
          <w:jc w:val="center"/>
        </w:trPr>
        <w:tc>
          <w:tcPr>
            <w:tcW w:w="0" w:type="auto"/>
            <w:vMerge w:val="restart"/>
            <w:shd w:val="clear" w:color="auto" w:fill="D9E2F3"/>
            <w:vAlign w:val="center"/>
          </w:tcPr>
          <w:p w14:paraId="26F949D2" w14:textId="77777777" w:rsidR="00AC500D" w:rsidRPr="007E0A27" w:rsidRDefault="00AC500D" w:rsidP="00AC500D">
            <w:pPr>
              <w:keepNext/>
              <w:keepLines/>
              <w:jc w:val="center"/>
              <w:rPr>
                <w:rFonts w:ascii="Arial" w:hAnsi="Arial" w:cs="Arial"/>
                <w:b/>
                <w:sz w:val="20"/>
                <w:szCs w:val="20"/>
              </w:rPr>
            </w:pPr>
            <w:r w:rsidRPr="007E0A27">
              <w:rPr>
                <w:rFonts w:ascii="Arial" w:hAnsi="Arial" w:cs="Arial"/>
                <w:b/>
                <w:sz w:val="20"/>
                <w:szCs w:val="20"/>
              </w:rPr>
              <w:t>Industry Group</w:t>
            </w:r>
          </w:p>
        </w:tc>
        <w:tc>
          <w:tcPr>
            <w:tcW w:w="0" w:type="auto"/>
            <w:gridSpan w:val="4"/>
            <w:shd w:val="clear" w:color="auto" w:fill="D9E2F3"/>
            <w:vAlign w:val="center"/>
          </w:tcPr>
          <w:p w14:paraId="4491CBBD"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Percent Over/Under Performance</w:t>
            </w:r>
          </w:p>
        </w:tc>
      </w:tr>
      <w:tr w:rsidR="00AC500D" w14:paraId="437B55CD" w14:textId="77777777" w:rsidTr="00D12ED1">
        <w:trPr>
          <w:jc w:val="center"/>
        </w:trPr>
        <w:tc>
          <w:tcPr>
            <w:tcW w:w="0" w:type="auto"/>
            <w:vMerge/>
            <w:shd w:val="clear" w:color="auto" w:fill="D9E2F3"/>
            <w:vAlign w:val="center"/>
          </w:tcPr>
          <w:p w14:paraId="04F9F368" w14:textId="77777777" w:rsidR="00AC500D" w:rsidRPr="007E0A27" w:rsidRDefault="00AC500D" w:rsidP="00AC500D">
            <w:pPr>
              <w:keepNext/>
              <w:keepLines/>
              <w:jc w:val="center"/>
              <w:rPr>
                <w:rFonts w:ascii="Arial" w:hAnsi="Arial" w:cs="Arial"/>
                <w:b/>
                <w:sz w:val="20"/>
                <w:szCs w:val="20"/>
              </w:rPr>
            </w:pPr>
          </w:p>
        </w:tc>
        <w:tc>
          <w:tcPr>
            <w:tcW w:w="0" w:type="auto"/>
            <w:shd w:val="clear" w:color="auto" w:fill="D9E2F3"/>
            <w:vAlign w:val="center"/>
          </w:tcPr>
          <w:p w14:paraId="03FB986E" w14:textId="77777777" w:rsidR="00AC500D" w:rsidRDefault="00AC500D" w:rsidP="00AC500D">
            <w:pPr>
              <w:keepNext/>
              <w:keepLines/>
              <w:jc w:val="center"/>
              <w:rPr>
                <w:rFonts w:ascii="Arial" w:hAnsi="Arial" w:cs="Arial"/>
                <w:b/>
                <w:sz w:val="20"/>
                <w:szCs w:val="20"/>
              </w:rPr>
            </w:pPr>
            <w:r>
              <w:rPr>
                <w:rFonts w:ascii="Arial" w:hAnsi="Arial" w:cs="Arial"/>
                <w:b/>
                <w:sz w:val="20"/>
                <w:szCs w:val="20"/>
              </w:rPr>
              <w:t>Hour Before Event</w:t>
            </w:r>
          </w:p>
        </w:tc>
        <w:tc>
          <w:tcPr>
            <w:tcW w:w="0" w:type="auto"/>
            <w:shd w:val="clear" w:color="auto" w:fill="D9E2F3"/>
            <w:vAlign w:val="center"/>
          </w:tcPr>
          <w:p w14:paraId="6613578D"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First Hour of Event</w:t>
            </w:r>
          </w:p>
        </w:tc>
        <w:tc>
          <w:tcPr>
            <w:tcW w:w="0" w:type="auto"/>
            <w:shd w:val="clear" w:color="auto" w:fill="D9E2F3"/>
            <w:vAlign w:val="center"/>
          </w:tcPr>
          <w:p w14:paraId="0F12A0C8"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Last Hour of Event</w:t>
            </w:r>
          </w:p>
        </w:tc>
        <w:tc>
          <w:tcPr>
            <w:tcW w:w="0" w:type="auto"/>
            <w:shd w:val="clear" w:color="auto" w:fill="D9E2F3"/>
            <w:vAlign w:val="center"/>
          </w:tcPr>
          <w:p w14:paraId="58AEC2FD"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Hour After Event</w:t>
            </w:r>
          </w:p>
        </w:tc>
      </w:tr>
      <w:tr w:rsidR="00AC500D" w14:paraId="556B61B9" w14:textId="77777777" w:rsidTr="00D12ED1">
        <w:trPr>
          <w:jc w:val="center"/>
        </w:trPr>
        <w:tc>
          <w:tcPr>
            <w:tcW w:w="0" w:type="auto"/>
            <w:vAlign w:val="center"/>
          </w:tcPr>
          <w:p w14:paraId="6D9776E8"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Agriculture, Mining, &amp; Construction</w:t>
            </w:r>
          </w:p>
        </w:tc>
        <w:tc>
          <w:tcPr>
            <w:tcW w:w="0" w:type="auto"/>
            <w:vAlign w:val="center"/>
          </w:tcPr>
          <w:p w14:paraId="66B98F86"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28%</w:t>
            </w:r>
          </w:p>
        </w:tc>
        <w:tc>
          <w:tcPr>
            <w:tcW w:w="0" w:type="auto"/>
            <w:vAlign w:val="center"/>
          </w:tcPr>
          <w:p w14:paraId="77C40196"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98%</w:t>
            </w:r>
          </w:p>
        </w:tc>
        <w:tc>
          <w:tcPr>
            <w:tcW w:w="0" w:type="auto"/>
            <w:vAlign w:val="center"/>
          </w:tcPr>
          <w:p w14:paraId="357DC5A3"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100%</w:t>
            </w:r>
          </w:p>
        </w:tc>
        <w:tc>
          <w:tcPr>
            <w:tcW w:w="0" w:type="auto"/>
            <w:vAlign w:val="center"/>
          </w:tcPr>
          <w:p w14:paraId="3513D8A7"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91%</w:t>
            </w:r>
          </w:p>
        </w:tc>
      </w:tr>
      <w:tr w:rsidR="00AC500D" w14:paraId="71C05FAD" w14:textId="77777777" w:rsidTr="00D12ED1">
        <w:trPr>
          <w:jc w:val="center"/>
        </w:trPr>
        <w:tc>
          <w:tcPr>
            <w:tcW w:w="0" w:type="auto"/>
            <w:vAlign w:val="center"/>
          </w:tcPr>
          <w:p w14:paraId="1390D4FF"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Manufacturing</w:t>
            </w:r>
          </w:p>
        </w:tc>
        <w:tc>
          <w:tcPr>
            <w:tcW w:w="0" w:type="auto"/>
            <w:vAlign w:val="center"/>
          </w:tcPr>
          <w:p w14:paraId="3647E57F"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38%</w:t>
            </w:r>
          </w:p>
        </w:tc>
        <w:tc>
          <w:tcPr>
            <w:tcW w:w="0" w:type="auto"/>
            <w:vAlign w:val="center"/>
          </w:tcPr>
          <w:p w14:paraId="7F3C0F13"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90%</w:t>
            </w:r>
          </w:p>
        </w:tc>
        <w:tc>
          <w:tcPr>
            <w:tcW w:w="0" w:type="auto"/>
            <w:vAlign w:val="center"/>
          </w:tcPr>
          <w:p w14:paraId="3E1B5938"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95%</w:t>
            </w:r>
          </w:p>
        </w:tc>
        <w:tc>
          <w:tcPr>
            <w:tcW w:w="0" w:type="auto"/>
            <w:vAlign w:val="center"/>
          </w:tcPr>
          <w:p w14:paraId="3A3A8300"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82%</w:t>
            </w:r>
          </w:p>
        </w:tc>
      </w:tr>
      <w:tr w:rsidR="00AC500D" w14:paraId="75A36B55" w14:textId="77777777" w:rsidTr="00D12ED1">
        <w:trPr>
          <w:jc w:val="center"/>
        </w:trPr>
        <w:tc>
          <w:tcPr>
            <w:tcW w:w="0" w:type="auto"/>
            <w:vAlign w:val="center"/>
          </w:tcPr>
          <w:p w14:paraId="7C237764"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Wholesale, Transportation, &amp; Other Utilities</w:t>
            </w:r>
          </w:p>
        </w:tc>
        <w:tc>
          <w:tcPr>
            <w:tcW w:w="0" w:type="auto"/>
            <w:vAlign w:val="center"/>
          </w:tcPr>
          <w:p w14:paraId="77A827CB"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41%</w:t>
            </w:r>
          </w:p>
        </w:tc>
        <w:tc>
          <w:tcPr>
            <w:tcW w:w="0" w:type="auto"/>
            <w:vAlign w:val="center"/>
          </w:tcPr>
          <w:p w14:paraId="090B8951"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96%</w:t>
            </w:r>
          </w:p>
        </w:tc>
        <w:tc>
          <w:tcPr>
            <w:tcW w:w="0" w:type="auto"/>
            <w:vAlign w:val="center"/>
          </w:tcPr>
          <w:p w14:paraId="1A9F9190"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96%</w:t>
            </w:r>
          </w:p>
        </w:tc>
        <w:tc>
          <w:tcPr>
            <w:tcW w:w="0" w:type="auto"/>
            <w:vAlign w:val="center"/>
          </w:tcPr>
          <w:p w14:paraId="76A0106F"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73%</w:t>
            </w:r>
          </w:p>
        </w:tc>
      </w:tr>
      <w:tr w:rsidR="00AC500D" w14:paraId="3138F2E1" w14:textId="77777777" w:rsidTr="00D12ED1">
        <w:trPr>
          <w:jc w:val="center"/>
        </w:trPr>
        <w:tc>
          <w:tcPr>
            <w:tcW w:w="0" w:type="auto"/>
            <w:vAlign w:val="center"/>
          </w:tcPr>
          <w:p w14:paraId="19598335"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Retail Stores</w:t>
            </w:r>
          </w:p>
        </w:tc>
        <w:tc>
          <w:tcPr>
            <w:tcW w:w="0" w:type="auto"/>
            <w:vAlign w:val="center"/>
          </w:tcPr>
          <w:p w14:paraId="1A0B4E51"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20%</w:t>
            </w:r>
          </w:p>
        </w:tc>
        <w:tc>
          <w:tcPr>
            <w:tcW w:w="0" w:type="auto"/>
            <w:vAlign w:val="center"/>
          </w:tcPr>
          <w:p w14:paraId="3EC82688"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58%</w:t>
            </w:r>
          </w:p>
        </w:tc>
        <w:tc>
          <w:tcPr>
            <w:tcW w:w="0" w:type="auto"/>
            <w:vAlign w:val="center"/>
          </w:tcPr>
          <w:p w14:paraId="1F7B1696"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52%</w:t>
            </w:r>
          </w:p>
        </w:tc>
        <w:tc>
          <w:tcPr>
            <w:tcW w:w="0" w:type="auto"/>
            <w:vAlign w:val="center"/>
          </w:tcPr>
          <w:p w14:paraId="501E308A"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23%</w:t>
            </w:r>
          </w:p>
        </w:tc>
      </w:tr>
      <w:tr w:rsidR="00AC500D" w14:paraId="5603D543" w14:textId="77777777" w:rsidTr="00D12ED1">
        <w:trPr>
          <w:jc w:val="center"/>
        </w:trPr>
        <w:tc>
          <w:tcPr>
            <w:tcW w:w="0" w:type="auto"/>
            <w:vAlign w:val="center"/>
          </w:tcPr>
          <w:p w14:paraId="70CA65EC"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Offices, Hotels, Health, Services</w:t>
            </w:r>
          </w:p>
        </w:tc>
        <w:tc>
          <w:tcPr>
            <w:tcW w:w="0" w:type="auto"/>
            <w:vAlign w:val="center"/>
          </w:tcPr>
          <w:p w14:paraId="1FB4F3D1"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34%</w:t>
            </w:r>
          </w:p>
        </w:tc>
        <w:tc>
          <w:tcPr>
            <w:tcW w:w="0" w:type="auto"/>
            <w:vAlign w:val="center"/>
          </w:tcPr>
          <w:p w14:paraId="7BFA4DBF"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93%</w:t>
            </w:r>
          </w:p>
        </w:tc>
        <w:tc>
          <w:tcPr>
            <w:tcW w:w="0" w:type="auto"/>
            <w:vAlign w:val="center"/>
          </w:tcPr>
          <w:p w14:paraId="4C859AC3"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69%</w:t>
            </w:r>
          </w:p>
        </w:tc>
        <w:tc>
          <w:tcPr>
            <w:tcW w:w="0" w:type="auto"/>
            <w:vAlign w:val="center"/>
          </w:tcPr>
          <w:p w14:paraId="3C8F06C7"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63%</w:t>
            </w:r>
          </w:p>
        </w:tc>
      </w:tr>
      <w:tr w:rsidR="00AC500D" w14:paraId="5ED42B86" w14:textId="77777777" w:rsidTr="00D12ED1">
        <w:trPr>
          <w:jc w:val="center"/>
        </w:trPr>
        <w:tc>
          <w:tcPr>
            <w:tcW w:w="0" w:type="auto"/>
            <w:vAlign w:val="center"/>
          </w:tcPr>
          <w:p w14:paraId="6C19446D" w14:textId="77777777" w:rsidR="00AC500D" w:rsidRPr="007E0A27" w:rsidRDefault="00AC500D" w:rsidP="00AC500D">
            <w:pPr>
              <w:keepNext/>
              <w:keepLines/>
              <w:rPr>
                <w:rFonts w:ascii="Arial" w:hAnsi="Arial" w:cs="Arial"/>
                <w:sz w:val="20"/>
                <w:szCs w:val="20"/>
              </w:rPr>
            </w:pPr>
            <w:r>
              <w:rPr>
                <w:rFonts w:ascii="Arial" w:hAnsi="Arial" w:cs="Arial"/>
                <w:sz w:val="20"/>
                <w:szCs w:val="20"/>
              </w:rPr>
              <w:t>Schools</w:t>
            </w:r>
          </w:p>
        </w:tc>
        <w:tc>
          <w:tcPr>
            <w:tcW w:w="0" w:type="auto"/>
            <w:vAlign w:val="center"/>
          </w:tcPr>
          <w:p w14:paraId="206308AE"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25%</w:t>
            </w:r>
          </w:p>
        </w:tc>
        <w:tc>
          <w:tcPr>
            <w:tcW w:w="0" w:type="auto"/>
            <w:vAlign w:val="center"/>
          </w:tcPr>
          <w:p w14:paraId="1250B116"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72%</w:t>
            </w:r>
          </w:p>
        </w:tc>
        <w:tc>
          <w:tcPr>
            <w:tcW w:w="0" w:type="auto"/>
            <w:vAlign w:val="center"/>
          </w:tcPr>
          <w:p w14:paraId="3CA66379"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72%</w:t>
            </w:r>
          </w:p>
        </w:tc>
        <w:tc>
          <w:tcPr>
            <w:tcW w:w="0" w:type="auto"/>
            <w:vAlign w:val="center"/>
          </w:tcPr>
          <w:p w14:paraId="5642E190"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25%</w:t>
            </w:r>
          </w:p>
        </w:tc>
      </w:tr>
      <w:tr w:rsidR="00AC500D" w14:paraId="3845AFD4" w14:textId="77777777" w:rsidTr="00D12ED1">
        <w:trPr>
          <w:jc w:val="center"/>
        </w:trPr>
        <w:tc>
          <w:tcPr>
            <w:tcW w:w="0" w:type="auto"/>
            <w:vAlign w:val="center"/>
          </w:tcPr>
          <w:p w14:paraId="0C96A832"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Entertainment, Other Services, Government</w:t>
            </w:r>
          </w:p>
        </w:tc>
        <w:tc>
          <w:tcPr>
            <w:tcW w:w="0" w:type="auto"/>
            <w:vAlign w:val="center"/>
          </w:tcPr>
          <w:p w14:paraId="0ABF4AF4"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33%</w:t>
            </w:r>
          </w:p>
        </w:tc>
        <w:tc>
          <w:tcPr>
            <w:tcW w:w="0" w:type="auto"/>
            <w:vAlign w:val="center"/>
          </w:tcPr>
          <w:p w14:paraId="67AB1C60"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159%</w:t>
            </w:r>
          </w:p>
        </w:tc>
        <w:tc>
          <w:tcPr>
            <w:tcW w:w="0" w:type="auto"/>
            <w:vAlign w:val="center"/>
          </w:tcPr>
          <w:p w14:paraId="2A6C6F62"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175%</w:t>
            </w:r>
          </w:p>
        </w:tc>
        <w:tc>
          <w:tcPr>
            <w:tcW w:w="0" w:type="auto"/>
            <w:vAlign w:val="center"/>
          </w:tcPr>
          <w:p w14:paraId="1CF9DAA5"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52%</w:t>
            </w:r>
          </w:p>
        </w:tc>
      </w:tr>
      <w:tr w:rsidR="00AC500D" w14:paraId="1D7DEB99" w14:textId="77777777" w:rsidTr="00D12ED1">
        <w:trPr>
          <w:jc w:val="center"/>
        </w:trPr>
        <w:tc>
          <w:tcPr>
            <w:tcW w:w="0" w:type="auto"/>
          </w:tcPr>
          <w:p w14:paraId="64772138" w14:textId="77777777" w:rsidR="00AC500D" w:rsidRPr="007E0A27" w:rsidRDefault="00AC500D" w:rsidP="00AC500D">
            <w:pPr>
              <w:keepNext/>
              <w:keepLines/>
              <w:rPr>
                <w:rFonts w:ascii="Arial" w:hAnsi="Arial" w:cs="Arial"/>
                <w:b/>
                <w:sz w:val="20"/>
                <w:szCs w:val="20"/>
              </w:rPr>
            </w:pPr>
            <w:r>
              <w:rPr>
                <w:rFonts w:ascii="Arial" w:hAnsi="Arial" w:cs="Arial"/>
                <w:b/>
                <w:sz w:val="20"/>
                <w:szCs w:val="20"/>
              </w:rPr>
              <w:t>All Customers</w:t>
            </w:r>
          </w:p>
        </w:tc>
        <w:tc>
          <w:tcPr>
            <w:tcW w:w="0" w:type="auto"/>
            <w:vAlign w:val="center"/>
          </w:tcPr>
          <w:p w14:paraId="49424CF1"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35%</w:t>
            </w:r>
          </w:p>
        </w:tc>
        <w:tc>
          <w:tcPr>
            <w:tcW w:w="0" w:type="auto"/>
            <w:vAlign w:val="center"/>
          </w:tcPr>
          <w:p w14:paraId="0F8E8D19"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91%</w:t>
            </w:r>
          </w:p>
        </w:tc>
        <w:tc>
          <w:tcPr>
            <w:tcW w:w="0" w:type="auto"/>
            <w:vAlign w:val="center"/>
          </w:tcPr>
          <w:p w14:paraId="6AC7BFDC"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94%</w:t>
            </w:r>
          </w:p>
        </w:tc>
        <w:tc>
          <w:tcPr>
            <w:tcW w:w="0" w:type="auto"/>
            <w:vAlign w:val="center"/>
          </w:tcPr>
          <w:p w14:paraId="0C185B94"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80%</w:t>
            </w:r>
          </w:p>
        </w:tc>
      </w:tr>
    </w:tbl>
    <w:p w14:paraId="02C41438" w14:textId="77777777" w:rsidR="00AC500D" w:rsidRDefault="00AC500D" w:rsidP="00AC500D">
      <w:pPr>
        <w:keepNext/>
        <w:keepLines/>
      </w:pPr>
      <w:r>
        <w:t>(HE15, HE16, HE19, and for the hour after, (4*HE20 – HE19)/3 is used to account for event ending at 19:14)</w:t>
      </w:r>
    </w:p>
    <w:p w14:paraId="37484E55" w14:textId="77777777" w:rsidR="00AC500D" w:rsidRDefault="00AC500D" w:rsidP="00AC500D"/>
    <w:p w14:paraId="6BF1F03D" w14:textId="1D2B7F12" w:rsidR="00AC500D" w:rsidRPr="00852320" w:rsidRDefault="00AC500D" w:rsidP="00AC500D">
      <w:pPr>
        <w:pStyle w:val="TableCaption"/>
        <w:keepNext/>
        <w:keepLines/>
        <w:rPr>
          <w:i/>
        </w:rPr>
      </w:pPr>
      <w:bookmarkStart w:id="285" w:name="_Toc415489046"/>
      <w:r>
        <w:lastRenderedPageBreak/>
        <w:t>Table B.3</w:t>
      </w:r>
      <w:r w:rsidRPr="00852320">
        <w:t xml:space="preserve">: </w:t>
      </w:r>
      <w:r>
        <w:t>May 16, 2014 Over/Under Performance – SDG&amp;E BI</w:t>
      </w:r>
      <w:r w:rsidRPr="00852320">
        <w:t xml:space="preserve">P, </w:t>
      </w:r>
      <w:r w:rsidRPr="00852320">
        <w:rPr>
          <w:i/>
        </w:rPr>
        <w:t>by Industry Group</w:t>
      </w:r>
      <w:r>
        <w:rPr>
          <w:i/>
        </w:rPr>
        <w:t xml:space="preserve"> and Event Hour</w:t>
      </w:r>
      <w:bookmarkEnd w:id="28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2"/>
        <w:gridCol w:w="1503"/>
        <w:gridCol w:w="1492"/>
        <w:gridCol w:w="1479"/>
        <w:gridCol w:w="1370"/>
      </w:tblGrid>
      <w:tr w:rsidR="00AC500D" w14:paraId="07F25129" w14:textId="77777777" w:rsidTr="00D12ED1">
        <w:trPr>
          <w:jc w:val="center"/>
        </w:trPr>
        <w:tc>
          <w:tcPr>
            <w:tcW w:w="0" w:type="auto"/>
            <w:vMerge w:val="restart"/>
            <w:shd w:val="clear" w:color="auto" w:fill="D9E2F3"/>
            <w:vAlign w:val="center"/>
          </w:tcPr>
          <w:p w14:paraId="3B9A5171" w14:textId="77777777" w:rsidR="00AC500D" w:rsidRPr="007E0A27" w:rsidRDefault="00AC500D" w:rsidP="00AC500D">
            <w:pPr>
              <w:keepNext/>
              <w:keepLines/>
              <w:jc w:val="center"/>
              <w:rPr>
                <w:rFonts w:ascii="Arial" w:hAnsi="Arial" w:cs="Arial"/>
                <w:b/>
                <w:sz w:val="20"/>
                <w:szCs w:val="20"/>
              </w:rPr>
            </w:pPr>
            <w:r w:rsidRPr="007E0A27">
              <w:rPr>
                <w:rFonts w:ascii="Arial" w:hAnsi="Arial" w:cs="Arial"/>
                <w:b/>
                <w:sz w:val="20"/>
                <w:szCs w:val="20"/>
              </w:rPr>
              <w:t>Industry Group</w:t>
            </w:r>
          </w:p>
        </w:tc>
        <w:tc>
          <w:tcPr>
            <w:tcW w:w="0" w:type="auto"/>
            <w:gridSpan w:val="4"/>
            <w:shd w:val="clear" w:color="auto" w:fill="D9E2F3"/>
            <w:vAlign w:val="center"/>
          </w:tcPr>
          <w:p w14:paraId="2A332A81"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Percent Over/Under Performance</w:t>
            </w:r>
          </w:p>
        </w:tc>
      </w:tr>
      <w:tr w:rsidR="00AC500D" w14:paraId="027648CD" w14:textId="77777777" w:rsidTr="00D12ED1">
        <w:trPr>
          <w:jc w:val="center"/>
        </w:trPr>
        <w:tc>
          <w:tcPr>
            <w:tcW w:w="0" w:type="auto"/>
            <w:vMerge/>
            <w:shd w:val="clear" w:color="auto" w:fill="D9E2F3"/>
            <w:vAlign w:val="center"/>
          </w:tcPr>
          <w:p w14:paraId="76205181" w14:textId="77777777" w:rsidR="00AC500D" w:rsidRPr="007E0A27" w:rsidRDefault="00AC500D" w:rsidP="00AC500D">
            <w:pPr>
              <w:keepNext/>
              <w:keepLines/>
              <w:jc w:val="center"/>
              <w:rPr>
                <w:rFonts w:ascii="Arial" w:hAnsi="Arial" w:cs="Arial"/>
                <w:b/>
                <w:sz w:val="20"/>
                <w:szCs w:val="20"/>
              </w:rPr>
            </w:pPr>
          </w:p>
        </w:tc>
        <w:tc>
          <w:tcPr>
            <w:tcW w:w="0" w:type="auto"/>
            <w:shd w:val="clear" w:color="auto" w:fill="D9E2F3"/>
            <w:vAlign w:val="center"/>
          </w:tcPr>
          <w:p w14:paraId="50E3CA3B" w14:textId="77777777" w:rsidR="00AC500D" w:rsidRDefault="00AC500D" w:rsidP="00AC500D">
            <w:pPr>
              <w:keepNext/>
              <w:keepLines/>
              <w:jc w:val="center"/>
              <w:rPr>
                <w:rFonts w:ascii="Arial" w:hAnsi="Arial" w:cs="Arial"/>
                <w:b/>
                <w:sz w:val="20"/>
                <w:szCs w:val="20"/>
              </w:rPr>
            </w:pPr>
            <w:r>
              <w:rPr>
                <w:rFonts w:ascii="Arial" w:hAnsi="Arial" w:cs="Arial"/>
                <w:b/>
                <w:sz w:val="20"/>
                <w:szCs w:val="20"/>
              </w:rPr>
              <w:t>Hour Before Event</w:t>
            </w:r>
          </w:p>
        </w:tc>
        <w:tc>
          <w:tcPr>
            <w:tcW w:w="0" w:type="auto"/>
            <w:shd w:val="clear" w:color="auto" w:fill="D9E2F3"/>
            <w:vAlign w:val="center"/>
          </w:tcPr>
          <w:p w14:paraId="4DD229C0"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First Hour of Event</w:t>
            </w:r>
          </w:p>
        </w:tc>
        <w:tc>
          <w:tcPr>
            <w:tcW w:w="0" w:type="auto"/>
            <w:shd w:val="clear" w:color="auto" w:fill="D9E2F3"/>
            <w:vAlign w:val="center"/>
          </w:tcPr>
          <w:p w14:paraId="12988F4F"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Last Hour of Event</w:t>
            </w:r>
          </w:p>
        </w:tc>
        <w:tc>
          <w:tcPr>
            <w:tcW w:w="0" w:type="auto"/>
            <w:shd w:val="clear" w:color="auto" w:fill="D9E2F3"/>
            <w:vAlign w:val="center"/>
          </w:tcPr>
          <w:p w14:paraId="01BE740A" w14:textId="77777777" w:rsidR="00AC500D" w:rsidRPr="007E0A27" w:rsidRDefault="00AC500D" w:rsidP="00AC500D">
            <w:pPr>
              <w:keepNext/>
              <w:keepLines/>
              <w:jc w:val="center"/>
              <w:rPr>
                <w:rFonts w:ascii="Arial" w:hAnsi="Arial" w:cs="Arial"/>
                <w:b/>
                <w:sz w:val="20"/>
                <w:szCs w:val="20"/>
              </w:rPr>
            </w:pPr>
            <w:r>
              <w:rPr>
                <w:rFonts w:ascii="Arial" w:hAnsi="Arial" w:cs="Arial"/>
                <w:b/>
                <w:sz w:val="20"/>
                <w:szCs w:val="20"/>
              </w:rPr>
              <w:t>Hour After Event</w:t>
            </w:r>
          </w:p>
        </w:tc>
      </w:tr>
      <w:tr w:rsidR="00AC500D" w14:paraId="5C545E35" w14:textId="77777777" w:rsidTr="00D12ED1">
        <w:trPr>
          <w:jc w:val="center"/>
        </w:trPr>
        <w:tc>
          <w:tcPr>
            <w:tcW w:w="0" w:type="auto"/>
            <w:vAlign w:val="center"/>
          </w:tcPr>
          <w:p w14:paraId="0ED3978D"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Agriculture, Mining, &amp; Construction</w:t>
            </w:r>
          </w:p>
        </w:tc>
        <w:tc>
          <w:tcPr>
            <w:tcW w:w="0" w:type="auto"/>
            <w:vAlign w:val="center"/>
          </w:tcPr>
          <w:p w14:paraId="6669B3BD"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16%</w:t>
            </w:r>
          </w:p>
        </w:tc>
        <w:tc>
          <w:tcPr>
            <w:tcW w:w="0" w:type="auto"/>
            <w:vAlign w:val="center"/>
          </w:tcPr>
          <w:p w14:paraId="002142BC"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35%</w:t>
            </w:r>
          </w:p>
        </w:tc>
        <w:tc>
          <w:tcPr>
            <w:tcW w:w="0" w:type="auto"/>
            <w:vAlign w:val="center"/>
          </w:tcPr>
          <w:p w14:paraId="1709C4DF"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100%</w:t>
            </w:r>
          </w:p>
        </w:tc>
        <w:tc>
          <w:tcPr>
            <w:tcW w:w="0" w:type="auto"/>
            <w:vAlign w:val="center"/>
          </w:tcPr>
          <w:p w14:paraId="6CD256AF"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-6%</w:t>
            </w:r>
          </w:p>
        </w:tc>
      </w:tr>
      <w:tr w:rsidR="00AC500D" w14:paraId="1724837F" w14:textId="77777777" w:rsidTr="00D12ED1">
        <w:trPr>
          <w:jc w:val="center"/>
        </w:trPr>
        <w:tc>
          <w:tcPr>
            <w:tcW w:w="0" w:type="auto"/>
            <w:vAlign w:val="center"/>
          </w:tcPr>
          <w:p w14:paraId="2BAEF331"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Manufacturing</w:t>
            </w:r>
          </w:p>
        </w:tc>
        <w:tc>
          <w:tcPr>
            <w:tcW w:w="0" w:type="auto"/>
            <w:vAlign w:val="center"/>
          </w:tcPr>
          <w:p w14:paraId="71B473C4"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n/a</w:t>
            </w:r>
          </w:p>
        </w:tc>
        <w:tc>
          <w:tcPr>
            <w:tcW w:w="0" w:type="auto"/>
            <w:vAlign w:val="center"/>
          </w:tcPr>
          <w:p w14:paraId="32CA25A8"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5%</w:t>
            </w:r>
          </w:p>
        </w:tc>
        <w:tc>
          <w:tcPr>
            <w:tcW w:w="0" w:type="auto"/>
            <w:vAlign w:val="center"/>
          </w:tcPr>
          <w:p w14:paraId="101376D3"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75%</w:t>
            </w:r>
          </w:p>
        </w:tc>
        <w:tc>
          <w:tcPr>
            <w:tcW w:w="0" w:type="auto"/>
            <w:vAlign w:val="center"/>
          </w:tcPr>
          <w:p w14:paraId="55C2397E"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-157%</w:t>
            </w:r>
          </w:p>
        </w:tc>
      </w:tr>
      <w:tr w:rsidR="00AC500D" w14:paraId="532C0EB4" w14:textId="77777777" w:rsidTr="00D12ED1">
        <w:trPr>
          <w:jc w:val="center"/>
        </w:trPr>
        <w:tc>
          <w:tcPr>
            <w:tcW w:w="0" w:type="auto"/>
            <w:vAlign w:val="center"/>
          </w:tcPr>
          <w:p w14:paraId="6ED5681D"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Wholesale, Transportation, &amp; Other Utilities</w:t>
            </w:r>
          </w:p>
        </w:tc>
        <w:tc>
          <w:tcPr>
            <w:tcW w:w="0" w:type="auto"/>
            <w:vAlign w:val="center"/>
          </w:tcPr>
          <w:p w14:paraId="0C081D98"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n/a</w:t>
            </w:r>
          </w:p>
        </w:tc>
        <w:tc>
          <w:tcPr>
            <w:tcW w:w="0" w:type="auto"/>
            <w:vAlign w:val="center"/>
          </w:tcPr>
          <w:p w14:paraId="2E6409D7"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n/a</w:t>
            </w:r>
          </w:p>
        </w:tc>
        <w:tc>
          <w:tcPr>
            <w:tcW w:w="0" w:type="auto"/>
            <w:vAlign w:val="center"/>
          </w:tcPr>
          <w:p w14:paraId="4EDA4ABB"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n/a</w:t>
            </w:r>
          </w:p>
        </w:tc>
        <w:tc>
          <w:tcPr>
            <w:tcW w:w="0" w:type="auto"/>
            <w:vAlign w:val="center"/>
          </w:tcPr>
          <w:p w14:paraId="2771C8AB"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n/a</w:t>
            </w:r>
          </w:p>
        </w:tc>
      </w:tr>
      <w:tr w:rsidR="00AC500D" w14:paraId="43B351A6" w14:textId="77777777" w:rsidTr="00D12ED1">
        <w:trPr>
          <w:jc w:val="center"/>
        </w:trPr>
        <w:tc>
          <w:tcPr>
            <w:tcW w:w="0" w:type="auto"/>
            <w:vAlign w:val="center"/>
          </w:tcPr>
          <w:p w14:paraId="5C3CED46" w14:textId="77777777" w:rsidR="00AC500D" w:rsidRPr="007E0A27" w:rsidRDefault="00AC500D" w:rsidP="00AC500D">
            <w:pPr>
              <w:keepNext/>
              <w:keepLines/>
              <w:rPr>
                <w:rFonts w:ascii="Arial" w:hAnsi="Arial" w:cs="Arial"/>
                <w:sz w:val="20"/>
                <w:szCs w:val="20"/>
              </w:rPr>
            </w:pPr>
            <w:r w:rsidRPr="007E0A27">
              <w:rPr>
                <w:rFonts w:ascii="Arial" w:hAnsi="Arial" w:cs="Arial"/>
                <w:sz w:val="20"/>
                <w:szCs w:val="20"/>
              </w:rPr>
              <w:t>Retail Stores</w:t>
            </w:r>
          </w:p>
        </w:tc>
        <w:tc>
          <w:tcPr>
            <w:tcW w:w="0" w:type="auto"/>
            <w:vAlign w:val="center"/>
          </w:tcPr>
          <w:p w14:paraId="28678720"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n/a</w:t>
            </w:r>
          </w:p>
        </w:tc>
        <w:tc>
          <w:tcPr>
            <w:tcW w:w="0" w:type="auto"/>
            <w:vAlign w:val="center"/>
          </w:tcPr>
          <w:p w14:paraId="26B7914C"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n/a</w:t>
            </w:r>
          </w:p>
        </w:tc>
        <w:tc>
          <w:tcPr>
            <w:tcW w:w="0" w:type="auto"/>
            <w:vAlign w:val="center"/>
          </w:tcPr>
          <w:p w14:paraId="6B4DCCB3"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n/a</w:t>
            </w:r>
          </w:p>
        </w:tc>
        <w:tc>
          <w:tcPr>
            <w:tcW w:w="0" w:type="auto"/>
            <w:vAlign w:val="center"/>
          </w:tcPr>
          <w:p w14:paraId="22B2E2CB" w14:textId="77777777" w:rsidR="00AC500D" w:rsidRPr="006A7B0D" w:rsidRDefault="00AC500D" w:rsidP="00AC500D">
            <w:pPr>
              <w:keepNext/>
              <w:keepLines/>
              <w:jc w:val="right"/>
              <w:rPr>
                <w:rFonts w:ascii="Arial" w:hAnsi="Arial" w:cs="Arial"/>
                <w:sz w:val="20"/>
                <w:szCs w:val="20"/>
              </w:rPr>
            </w:pPr>
            <w:r>
              <w:rPr>
                <w:rFonts w:ascii="Arial" w:hAnsi="Arial" w:cs="Arial"/>
                <w:sz w:val="20"/>
                <w:szCs w:val="20"/>
              </w:rPr>
              <w:t>n/a</w:t>
            </w:r>
          </w:p>
        </w:tc>
      </w:tr>
      <w:tr w:rsidR="00AC500D" w14:paraId="49DBA12A" w14:textId="77777777" w:rsidTr="00D12ED1">
        <w:trPr>
          <w:jc w:val="center"/>
        </w:trPr>
        <w:tc>
          <w:tcPr>
            <w:tcW w:w="0" w:type="auto"/>
          </w:tcPr>
          <w:p w14:paraId="51502738" w14:textId="77777777" w:rsidR="00AC500D" w:rsidRPr="007E0A27" w:rsidRDefault="00AC500D" w:rsidP="00AC500D">
            <w:pPr>
              <w:keepNext/>
              <w:keepLines/>
              <w:rPr>
                <w:rFonts w:ascii="Arial" w:hAnsi="Arial" w:cs="Arial"/>
                <w:b/>
                <w:sz w:val="20"/>
                <w:szCs w:val="20"/>
              </w:rPr>
            </w:pPr>
            <w:r>
              <w:rPr>
                <w:rFonts w:ascii="Arial" w:hAnsi="Arial" w:cs="Arial"/>
                <w:b/>
                <w:sz w:val="20"/>
                <w:szCs w:val="20"/>
              </w:rPr>
              <w:t>All Customers</w:t>
            </w:r>
          </w:p>
        </w:tc>
        <w:tc>
          <w:tcPr>
            <w:tcW w:w="0" w:type="auto"/>
            <w:vAlign w:val="center"/>
          </w:tcPr>
          <w:p w14:paraId="0AFD67FD"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18%</w:t>
            </w:r>
          </w:p>
        </w:tc>
        <w:tc>
          <w:tcPr>
            <w:tcW w:w="0" w:type="auto"/>
            <w:vAlign w:val="center"/>
          </w:tcPr>
          <w:p w14:paraId="368B03D1"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35%</w:t>
            </w:r>
          </w:p>
        </w:tc>
        <w:tc>
          <w:tcPr>
            <w:tcW w:w="0" w:type="auto"/>
            <w:vAlign w:val="center"/>
          </w:tcPr>
          <w:p w14:paraId="0E1E3787"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102%</w:t>
            </w:r>
          </w:p>
        </w:tc>
        <w:tc>
          <w:tcPr>
            <w:tcW w:w="0" w:type="auto"/>
            <w:vAlign w:val="center"/>
          </w:tcPr>
          <w:p w14:paraId="3844FE46" w14:textId="77777777" w:rsidR="00AC500D" w:rsidRPr="006A7B0D" w:rsidRDefault="00AC500D" w:rsidP="00AC500D">
            <w:pPr>
              <w:keepNext/>
              <w:keepLines/>
              <w:jc w:val="right"/>
              <w:rPr>
                <w:rFonts w:ascii="Arial" w:hAnsi="Arial" w:cs="Arial"/>
                <w:b/>
                <w:sz w:val="20"/>
                <w:szCs w:val="20"/>
              </w:rPr>
            </w:pPr>
            <w:r>
              <w:rPr>
                <w:rFonts w:ascii="Arial" w:hAnsi="Arial" w:cs="Arial"/>
                <w:b/>
                <w:sz w:val="20"/>
                <w:szCs w:val="20"/>
              </w:rPr>
              <w:t>-13%</w:t>
            </w:r>
          </w:p>
        </w:tc>
      </w:tr>
    </w:tbl>
    <w:p w14:paraId="09C2AB04" w14:textId="77777777" w:rsidR="00AC500D" w:rsidRDefault="00AC500D" w:rsidP="00AC500D">
      <w:pPr>
        <w:keepNext/>
        <w:keepLines/>
      </w:pPr>
      <w:r>
        <w:t>(HE11, HE12, HE14, HE16 for an event scheduled for around 10:45 through 14:45, with no clear way to adjust for the partial hour as we did with SCE due to the observed loads around the end of the event window)</w:t>
      </w:r>
    </w:p>
    <w:p w14:paraId="0802B656" w14:textId="28B6924F" w:rsidR="00186DFA" w:rsidRPr="00751406" w:rsidRDefault="00186DFA" w:rsidP="00AC500D"/>
    <w:sectPr w:rsidR="00186DFA" w:rsidRPr="00751406" w:rsidSect="00A4025E">
      <w:footerReference w:type="default" r:id="rId42"/>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EAA7C" w14:textId="77777777" w:rsidR="00383F6F" w:rsidRDefault="00383F6F">
      <w:r>
        <w:separator/>
      </w:r>
    </w:p>
  </w:endnote>
  <w:endnote w:type="continuationSeparator" w:id="0">
    <w:p w14:paraId="4A586A4B" w14:textId="77777777" w:rsidR="00383F6F" w:rsidRDefault="00383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92F77" w14:textId="77777777" w:rsidR="00383F6F" w:rsidRDefault="00383F6F" w:rsidP="000B5A5D">
    <w:pPr>
      <w:pStyle w:val="FootnoteText"/>
      <w:framePr w:wrap="around" w:vAnchor="text" w:hAnchor="margin" w:xAlign="center" w:y="1"/>
      <w:rPr>
        <w:rStyle w:val="FootnoteReference"/>
      </w:rPr>
    </w:pPr>
    <w:r>
      <w:rPr>
        <w:rStyle w:val="FootnoteReference"/>
      </w:rPr>
      <w:fldChar w:fldCharType="begin"/>
    </w:r>
    <w:r>
      <w:rPr>
        <w:rStyle w:val="FootnoteReference"/>
      </w:rPr>
      <w:instrText xml:space="preserve">PAGE  </w:instrText>
    </w:r>
    <w:r>
      <w:rPr>
        <w:rStyle w:val="FootnoteReference"/>
      </w:rPr>
      <w:fldChar w:fldCharType="end"/>
    </w:r>
  </w:p>
  <w:p w14:paraId="6CEEAD03" w14:textId="77777777" w:rsidR="00383F6F" w:rsidRDefault="00383F6F">
    <w:pPr>
      <w:pStyle w:val="Footnote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5FBCE" w14:textId="77777777" w:rsidR="00383F6F" w:rsidRPr="003601DE" w:rsidRDefault="00383F6F" w:rsidP="003601DE">
    <w:pPr>
      <w:pStyle w:val="Footer"/>
      <w:rPr>
        <w:rFonts w:ascii="AvantGarde" w:hAnsi="AvantGarde"/>
        <w:sz w:val="20"/>
        <w:szCs w:val="20"/>
      </w:rPr>
    </w:pPr>
    <w:r w:rsidRPr="003601DE">
      <w:rPr>
        <w:rFonts w:ascii="AvantGarde" w:hAnsi="AvantGarde"/>
        <w:sz w:val="20"/>
        <w:szCs w:val="20"/>
      </w:rPr>
      <w:t>Christensen Associates Energy Consulting, LLC</w:t>
    </w:r>
  </w:p>
  <w:p w14:paraId="2C89ECD9" w14:textId="77777777" w:rsidR="00383F6F" w:rsidRPr="003C0234" w:rsidRDefault="00383F6F" w:rsidP="003601DE">
    <w:pPr>
      <w:pStyle w:val="Footer"/>
      <w:rPr>
        <w:rFonts w:ascii="AvantGarde" w:hAnsi="AvantGarde"/>
        <w:sz w:val="20"/>
        <w:szCs w:val="20"/>
      </w:rPr>
    </w:pPr>
    <w:smartTag w:uri="urn:schemas-microsoft-com:office:smarttags" w:element="Street">
      <w:smartTag w:uri="urn:schemas-microsoft-com:office:smarttags" w:element="address">
        <w:r w:rsidRPr="003C0234">
          <w:rPr>
            <w:rFonts w:ascii="AvantGarde" w:hAnsi="AvantGarde"/>
            <w:sz w:val="20"/>
            <w:szCs w:val="20"/>
          </w:rPr>
          <w:t>800 University Bay Drive, Suite 400</w:t>
        </w:r>
      </w:smartTag>
    </w:smartTag>
  </w:p>
  <w:p w14:paraId="42500099" w14:textId="77777777" w:rsidR="00383F6F" w:rsidRPr="003C0234" w:rsidRDefault="00383F6F" w:rsidP="003601DE">
    <w:pPr>
      <w:pStyle w:val="Footer"/>
      <w:rPr>
        <w:rFonts w:ascii="AvantGarde" w:hAnsi="AvantGarde"/>
        <w:sz w:val="20"/>
        <w:szCs w:val="20"/>
      </w:rPr>
    </w:pPr>
    <w:smartTag w:uri="urn:schemas-microsoft-com:office:smarttags" w:element="place">
      <w:smartTag w:uri="urn:schemas-microsoft-com:office:smarttags" w:element="City">
        <w:r>
          <w:rPr>
            <w:rFonts w:ascii="AvantGarde" w:hAnsi="AvantGarde"/>
            <w:sz w:val="20"/>
            <w:szCs w:val="20"/>
          </w:rPr>
          <w:t>Madison</w:t>
        </w:r>
      </w:smartTag>
      <w:r>
        <w:rPr>
          <w:rFonts w:ascii="AvantGarde" w:hAnsi="AvantGarde"/>
          <w:sz w:val="20"/>
          <w:szCs w:val="20"/>
        </w:rPr>
        <w:t xml:space="preserve">, </w:t>
      </w:r>
      <w:smartTag w:uri="urn:schemas-microsoft-com:office:smarttags" w:element="State">
        <w:r>
          <w:rPr>
            <w:rFonts w:ascii="AvantGarde" w:hAnsi="AvantGarde"/>
            <w:sz w:val="20"/>
            <w:szCs w:val="20"/>
          </w:rPr>
          <w:t>WI</w:t>
        </w:r>
      </w:smartTag>
      <w:r>
        <w:rPr>
          <w:rFonts w:ascii="AvantGarde" w:hAnsi="AvantGarde"/>
          <w:sz w:val="20"/>
          <w:szCs w:val="20"/>
        </w:rPr>
        <w:t xml:space="preserve">  </w:t>
      </w:r>
      <w:smartTag w:uri="urn:schemas-microsoft-com:office:smarttags" w:element="PostalCode">
        <w:r>
          <w:rPr>
            <w:rFonts w:ascii="AvantGarde" w:hAnsi="AvantGarde"/>
            <w:sz w:val="20"/>
            <w:szCs w:val="20"/>
          </w:rPr>
          <w:t>53705-2299</w:t>
        </w:r>
      </w:smartTag>
    </w:smartTag>
  </w:p>
  <w:p w14:paraId="1233B72A" w14:textId="77777777" w:rsidR="00383F6F" w:rsidRPr="003C0234" w:rsidRDefault="00383F6F" w:rsidP="003601DE">
    <w:pPr>
      <w:pStyle w:val="Footer"/>
      <w:rPr>
        <w:rFonts w:ascii="AvantGarde" w:hAnsi="AvantGarde"/>
        <w:sz w:val="20"/>
        <w:szCs w:val="20"/>
      </w:rPr>
    </w:pPr>
  </w:p>
  <w:p w14:paraId="650687F8" w14:textId="77777777" w:rsidR="00383F6F" w:rsidRPr="003601DE" w:rsidRDefault="00383F6F">
    <w:pPr>
      <w:pStyle w:val="Footer"/>
      <w:rPr>
        <w:rFonts w:ascii="AvantGarde" w:hAnsi="AvantGarde"/>
        <w:sz w:val="20"/>
        <w:szCs w:val="20"/>
      </w:rPr>
    </w:pPr>
    <w:r w:rsidRPr="003C0234">
      <w:rPr>
        <w:rFonts w:ascii="AvantGarde" w:hAnsi="AvantGarde"/>
        <w:sz w:val="20"/>
        <w:szCs w:val="20"/>
      </w:rPr>
      <w:t>Voice</w:t>
    </w:r>
    <w:r>
      <w:rPr>
        <w:rFonts w:ascii="AvantGarde" w:hAnsi="AvantGarde"/>
        <w:sz w:val="20"/>
        <w:szCs w:val="20"/>
      </w:rPr>
      <w:t xml:space="preserve"> 608.231.2266  Fax 608.231.2108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82D4A" w14:textId="77777777" w:rsidR="00383F6F" w:rsidRPr="00CF533D" w:rsidRDefault="00383F6F" w:rsidP="00CD37BE">
    <w:pPr>
      <w:pStyle w:val="Footer"/>
      <w:pBdr>
        <w:top w:val="single" w:sz="4" w:space="1" w:color="auto"/>
      </w:pBdr>
      <w:tabs>
        <w:tab w:val="clear" w:pos="8640"/>
        <w:tab w:val="right" w:pos="9360"/>
      </w:tabs>
    </w:pPr>
    <w:r>
      <w:tab/>
    </w:r>
    <w:r>
      <w:rPr>
        <w:rStyle w:val="FootnoteReference"/>
      </w:rPr>
      <w:fldChar w:fldCharType="begin"/>
    </w:r>
    <w:r>
      <w:rPr>
        <w:rStyle w:val="FootnoteReference"/>
      </w:rPr>
      <w:instrText xml:space="preserve"> PAGE </w:instrText>
    </w:r>
    <w:r>
      <w:rPr>
        <w:rStyle w:val="FootnoteReference"/>
      </w:rPr>
      <w:fldChar w:fldCharType="separate"/>
    </w:r>
    <w:r w:rsidR="00891D9B">
      <w:rPr>
        <w:rStyle w:val="FootnoteReference"/>
        <w:noProof/>
      </w:rPr>
      <w:t>i</w:t>
    </w:r>
    <w:r>
      <w:rPr>
        <w:rStyle w:val="FootnoteReference"/>
      </w:rPr>
      <w:fldChar w:fldCharType="end"/>
    </w:r>
    <w:r>
      <w:tab/>
      <w:t>CA Energy Consulting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328D3" w14:textId="77777777" w:rsidR="00383F6F" w:rsidRPr="003D3D4C" w:rsidRDefault="00383F6F" w:rsidP="003D3D4C">
    <w:pPr>
      <w:pStyle w:val="Footer"/>
      <w:pBdr>
        <w:top w:val="single" w:sz="4" w:space="1" w:color="auto"/>
      </w:pBdr>
      <w:rPr>
        <w:i/>
      </w:rPr>
    </w:pPr>
    <w:r>
      <w:tab/>
    </w:r>
    <w:r>
      <w:rPr>
        <w:rStyle w:val="FootnoteReference"/>
        <w:vertAlign w:val="baseline"/>
      </w:rPr>
      <w:fldChar w:fldCharType="begin"/>
    </w:r>
    <w:r>
      <w:rPr>
        <w:rStyle w:val="FootnoteReference"/>
        <w:vertAlign w:val="baseline"/>
      </w:rPr>
      <w:instrText xml:space="preserve"> PAGE </w:instrText>
    </w:r>
    <w:r>
      <w:rPr>
        <w:rStyle w:val="FootnoteReference"/>
        <w:vertAlign w:val="baseline"/>
      </w:rPr>
      <w:fldChar w:fldCharType="separate"/>
    </w:r>
    <w:r w:rsidR="00891D9B">
      <w:rPr>
        <w:rStyle w:val="FootnoteReference"/>
        <w:noProof/>
        <w:vertAlign w:val="baseline"/>
      </w:rPr>
      <w:t>15</w:t>
    </w:r>
    <w:r>
      <w:rPr>
        <w:rStyle w:val="FootnoteReference"/>
        <w:vertAlign w:val="baseline"/>
      </w:rPr>
      <w:fldChar w:fldCharType="end"/>
    </w:r>
    <w:r>
      <w:rPr>
        <w:rStyle w:val="FootnoteReference"/>
        <w:vertAlign w:val="baseline"/>
      </w:rPr>
      <w:tab/>
    </w:r>
    <w:r w:rsidRPr="003D3D4C">
      <w:rPr>
        <w:rStyle w:val="FootnoteReference"/>
        <w:i/>
        <w:vertAlign w:val="baseline"/>
      </w:rPr>
      <w:t>CA Energy Consulting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33F33D" w14:textId="77777777" w:rsidR="00383F6F" w:rsidRDefault="00383F6F">
      <w:r>
        <w:separator/>
      </w:r>
    </w:p>
  </w:footnote>
  <w:footnote w:type="continuationSeparator" w:id="0">
    <w:p w14:paraId="48423EEC" w14:textId="77777777" w:rsidR="00383F6F" w:rsidRDefault="00383F6F">
      <w:r>
        <w:continuationSeparator/>
      </w:r>
    </w:p>
  </w:footnote>
  <w:footnote w:id="1">
    <w:p w14:paraId="3102CDA0" w14:textId="77777777" w:rsidR="00383F6F" w:rsidRPr="00F34148" w:rsidRDefault="00383F6F" w:rsidP="008A3E42">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Local Capacity Area (or LCA) refers to a CAISO-designated load pocket or transmission constrained geographic area for which a utility is required to meet a Local Resource Adequacy capacity requirement.</w:t>
      </w:r>
      <w:r>
        <w:t xml:space="preserve"> </w:t>
      </w:r>
      <w:r w:rsidRPr="00F34148">
        <w:rPr>
          <w:rFonts w:ascii="Calibri" w:hAnsi="Calibri"/>
        </w:rPr>
        <w:t>There are currently seven LCAs within PG&amp;E’s service area, 3 in SCE’s service territory, and 1 representing SDG&amp;E’s entire service territory. In addition, PG&amp;E has many accounts that are not located within any specific LCA.</w:t>
      </w:r>
    </w:p>
  </w:footnote>
  <w:footnote w:id="2">
    <w:p w14:paraId="6A79BF0D" w14:textId="1F09AF4B" w:rsidR="00383F6F" w:rsidRPr="00F34148" w:rsidRDefault="00383F6F">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"Enrollment" is defined as the </w:t>
      </w:r>
      <w:r>
        <w:rPr>
          <w:rFonts w:ascii="Calibri" w:hAnsi="Calibri"/>
        </w:rPr>
        <w:t>enroll</w:t>
      </w:r>
      <w:r w:rsidRPr="00F34148">
        <w:rPr>
          <w:rFonts w:ascii="Calibri" w:hAnsi="Calibri"/>
        </w:rPr>
        <w:t xml:space="preserve">ment on </w:t>
      </w:r>
      <w:r>
        <w:rPr>
          <w:rFonts w:ascii="Calibri" w:hAnsi="Calibri"/>
        </w:rPr>
        <w:t xml:space="preserve">the September 11, 2014 </w:t>
      </w:r>
      <w:r w:rsidRPr="00F34148">
        <w:rPr>
          <w:rFonts w:ascii="Calibri" w:hAnsi="Calibri"/>
        </w:rPr>
        <w:t>event day</w:t>
      </w:r>
      <w:r>
        <w:rPr>
          <w:rFonts w:ascii="Calibri" w:hAnsi="Calibri"/>
        </w:rPr>
        <w:t xml:space="preserve"> for PG&amp;E; the February 6, 2014 event day for SCE; and the May 16, 2014 event day for SDG&amp;E</w:t>
      </w:r>
      <w:r w:rsidRPr="00F34148">
        <w:rPr>
          <w:rFonts w:ascii="Calibri" w:hAnsi="Calibri"/>
        </w:rPr>
        <w:t>.</w:t>
      </w:r>
    </w:p>
  </w:footnote>
  <w:footnote w:id="3">
    <w:p w14:paraId="5BA35267" w14:textId="1B4D0813" w:rsidR="00383F6F" w:rsidRPr="00F34148" w:rsidRDefault="00383F6F" w:rsidP="008A3E42">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Customer-level demand (“Sum of Max MW” in the tables) is calculated as the coincident maximum demand </w:t>
      </w:r>
      <w:r>
        <w:rPr>
          <w:rFonts w:ascii="Calibri" w:hAnsi="Calibri"/>
        </w:rPr>
        <w:t>on the event days listed in footnote 2</w:t>
      </w:r>
      <w:r w:rsidRPr="00F34148">
        <w:rPr>
          <w:rFonts w:ascii="Calibri" w:hAnsi="Calibri"/>
        </w:rPr>
        <w:t>, including the estimated load impacts (i.e., using the reference loads).</w:t>
      </w:r>
    </w:p>
  </w:footnote>
  <w:footnote w:id="4">
    <w:p w14:paraId="239D1CDA" w14:textId="77777777" w:rsidR="00383F6F" w:rsidRPr="00F34148" w:rsidRDefault="00383F6F" w:rsidP="007C28F4">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"Sum of Max MW" is defined as the sum of the event-day coincident peak demands across service accounts. The reported values include the estimated load impacts.</w:t>
      </w:r>
    </w:p>
  </w:footnote>
  <w:footnote w:id="5">
    <w:p w14:paraId="5D688C18" w14:textId="77777777" w:rsidR="00383F6F" w:rsidRPr="00F34148" w:rsidRDefault="00383F6F" w:rsidP="007C28F4">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"Ave. Max MW" is calculated as "Sum of Max MW" divided by the "# of Service Accounts."</w:t>
      </w:r>
    </w:p>
  </w:footnote>
  <w:footnote w:id="6">
    <w:p w14:paraId="5CD845D8" w14:textId="1C5CEB1B" w:rsidR="00383F6F" w:rsidRPr="00F34148" w:rsidRDefault="00383F6F" w:rsidP="00BE6F16">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Including weekends and holidays would require the addition of variables to capture the fact that load levels and patterns on weekends and holidays can differ greatly from those of non-holiday weekdays. Because event days d</w:t>
      </w:r>
      <w:r>
        <w:rPr>
          <w:rFonts w:ascii="Calibri" w:hAnsi="Calibri"/>
        </w:rPr>
        <w:t>id</w:t>
      </w:r>
      <w:r w:rsidRPr="00F34148">
        <w:rPr>
          <w:rFonts w:ascii="Calibri" w:hAnsi="Calibri"/>
        </w:rPr>
        <w:t xml:space="preserve"> not occur on weekends or holidays, the exclusion of these data does not affect the model’s ability to estimate ex post load impacts. </w:t>
      </w:r>
    </w:p>
  </w:footnote>
  <w:footnote w:id="7">
    <w:p w14:paraId="6FFC44CF" w14:textId="1CE62DC9" w:rsidR="00383F6F" w:rsidRPr="00F34148" w:rsidRDefault="00383F6F">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The summer pricing season is Ju</w:t>
      </w:r>
      <w:r>
        <w:rPr>
          <w:rFonts w:ascii="Calibri" w:hAnsi="Calibri"/>
        </w:rPr>
        <w:t>ne</w:t>
      </w:r>
      <w:r w:rsidRPr="00F34148">
        <w:rPr>
          <w:rFonts w:ascii="Calibri" w:hAnsi="Calibri"/>
        </w:rPr>
        <w:t xml:space="preserve"> through September for SCE, May through September for SDG&amp;E, and May through October for PG&amp;E.</w:t>
      </w:r>
    </w:p>
  </w:footnote>
  <w:footnote w:id="8">
    <w:p w14:paraId="4D47AAD9" w14:textId="0DFC3545" w:rsidR="00383F6F" w:rsidRPr="00186DFA" w:rsidRDefault="00383F6F">
      <w:pPr>
        <w:pStyle w:val="FootnoteText"/>
        <w:rPr>
          <w:rFonts w:asciiTheme="minorHAnsi" w:hAnsiTheme="minorHAnsi"/>
        </w:rPr>
      </w:pPr>
      <w:r w:rsidRPr="00186DFA">
        <w:rPr>
          <w:rStyle w:val="FootnoteReference"/>
          <w:rFonts w:asciiTheme="minorHAnsi" w:hAnsiTheme="minorHAnsi"/>
        </w:rPr>
        <w:footnoteRef/>
      </w:r>
      <w:r w:rsidRPr="00186DFA">
        <w:rPr>
          <w:rFonts w:asciiTheme="minorHAnsi" w:hAnsiTheme="minorHAnsi"/>
        </w:rPr>
        <w:t xml:space="preserve"> A comparison of lo</w:t>
      </w:r>
      <w:r>
        <w:rPr>
          <w:rFonts w:asciiTheme="minorHAnsi" w:hAnsiTheme="minorHAnsi"/>
        </w:rPr>
        <w:t>ad impacts using 15-minute and 6</w:t>
      </w:r>
      <w:r w:rsidRPr="00186DFA">
        <w:rPr>
          <w:rFonts w:asciiTheme="minorHAnsi" w:hAnsiTheme="minorHAnsi"/>
        </w:rPr>
        <w:t>0-minute data is provided in Appendix A.</w:t>
      </w:r>
    </w:p>
  </w:footnote>
  <w:footnote w:id="9">
    <w:p w14:paraId="4F1D6498" w14:textId="351AAC62" w:rsidR="00383F6F" w:rsidRPr="00A34732" w:rsidRDefault="00383F6F">
      <w:pPr>
        <w:pStyle w:val="FootnoteText"/>
        <w:rPr>
          <w:rFonts w:asciiTheme="minorHAnsi" w:hAnsiTheme="minorHAnsi"/>
        </w:rPr>
      </w:pPr>
      <w:r w:rsidRPr="00A34732">
        <w:rPr>
          <w:rStyle w:val="FootnoteReference"/>
          <w:rFonts w:asciiTheme="minorHAnsi" w:hAnsiTheme="minorHAnsi"/>
        </w:rPr>
        <w:footnoteRef/>
      </w:r>
      <w:r w:rsidRPr="00A34732">
        <w:rPr>
          <w:rFonts w:asciiTheme="minorHAnsi" w:hAnsiTheme="minorHAnsi"/>
        </w:rPr>
        <w:t xml:space="preserve"> </w:t>
      </w:r>
      <w:r w:rsidR="00B525DE" w:rsidRPr="00A34732">
        <w:rPr>
          <w:rFonts w:asciiTheme="minorHAnsi" w:hAnsiTheme="minorHAnsi"/>
        </w:rPr>
        <w:t>Some partial event hours are excluded from the estimates and calculations shown in SDG&amp;E’s summary tables. Specifically, the results for the February 6</w:t>
      </w:r>
      <w:r w:rsidR="00B525DE" w:rsidRPr="00A34732">
        <w:rPr>
          <w:rFonts w:asciiTheme="minorHAnsi" w:hAnsiTheme="minorHAnsi"/>
          <w:vertAlign w:val="superscript"/>
        </w:rPr>
        <w:t>th</w:t>
      </w:r>
      <w:r w:rsidR="00B525DE" w:rsidRPr="00A34732">
        <w:rPr>
          <w:rFonts w:asciiTheme="minorHAnsi" w:hAnsiTheme="minorHAnsi"/>
        </w:rPr>
        <w:t xml:space="preserve"> </w:t>
      </w:r>
      <w:r w:rsidR="00B525DE">
        <w:rPr>
          <w:rFonts w:asciiTheme="minorHAnsi" w:hAnsiTheme="minorHAnsi"/>
        </w:rPr>
        <w:t xml:space="preserve">event include hours ending 18 through 20; </w:t>
      </w:r>
      <w:r w:rsidR="00B525DE" w:rsidRPr="00A34732">
        <w:rPr>
          <w:rFonts w:asciiTheme="minorHAnsi" w:hAnsiTheme="minorHAnsi"/>
        </w:rPr>
        <w:t>May 14</w:t>
      </w:r>
      <w:r w:rsidR="00B525DE" w:rsidRPr="00A34732">
        <w:rPr>
          <w:rFonts w:asciiTheme="minorHAnsi" w:hAnsiTheme="minorHAnsi"/>
          <w:vertAlign w:val="superscript"/>
        </w:rPr>
        <w:t>th</w:t>
      </w:r>
      <w:r w:rsidR="00B525DE" w:rsidRPr="00A34732">
        <w:rPr>
          <w:rFonts w:asciiTheme="minorHAnsi" w:hAnsiTheme="minorHAnsi"/>
        </w:rPr>
        <w:t xml:space="preserve"> include</w:t>
      </w:r>
      <w:r w:rsidR="00B525DE">
        <w:rPr>
          <w:rFonts w:asciiTheme="minorHAnsi" w:hAnsiTheme="minorHAnsi"/>
        </w:rPr>
        <w:t>s</w:t>
      </w:r>
      <w:r w:rsidR="00B525DE" w:rsidRPr="00A34732">
        <w:rPr>
          <w:rFonts w:asciiTheme="minorHAnsi" w:hAnsiTheme="minorHAnsi"/>
        </w:rPr>
        <w:t xml:space="preserve"> hours ending 1</w:t>
      </w:r>
      <w:r w:rsidR="00B525DE">
        <w:rPr>
          <w:rFonts w:asciiTheme="minorHAnsi" w:hAnsiTheme="minorHAnsi"/>
        </w:rPr>
        <w:t>7</w:t>
      </w:r>
      <w:r w:rsidR="00B525DE" w:rsidRPr="00A34732">
        <w:rPr>
          <w:rFonts w:asciiTheme="minorHAnsi" w:hAnsiTheme="minorHAnsi"/>
        </w:rPr>
        <w:t xml:space="preserve"> through 20; and the results for the May 16</w:t>
      </w:r>
      <w:r w:rsidR="00B525DE" w:rsidRPr="00A34732">
        <w:rPr>
          <w:rFonts w:asciiTheme="minorHAnsi" w:hAnsiTheme="minorHAnsi"/>
          <w:vertAlign w:val="superscript"/>
        </w:rPr>
        <w:t>th</w:t>
      </w:r>
      <w:r w:rsidR="00B525DE" w:rsidRPr="00A34732">
        <w:rPr>
          <w:rFonts w:asciiTheme="minorHAnsi" w:hAnsiTheme="minorHAnsi"/>
        </w:rPr>
        <w:t xml:space="preserve"> event include hours ending 1</w:t>
      </w:r>
      <w:r w:rsidR="00B525DE">
        <w:rPr>
          <w:rFonts w:asciiTheme="minorHAnsi" w:hAnsiTheme="minorHAnsi"/>
        </w:rPr>
        <w:t>2 through 14</w:t>
      </w:r>
      <w:r w:rsidR="00B525DE" w:rsidRPr="00A34732">
        <w:rPr>
          <w:rFonts w:asciiTheme="minorHAnsi" w:hAnsiTheme="minorHAnsi"/>
        </w:rPr>
        <w:t>.</w:t>
      </w:r>
    </w:p>
  </w:footnote>
  <w:footnote w:id="10">
    <w:p w14:paraId="2ABAEDDB" w14:textId="223CE10E" w:rsidR="00383F6F" w:rsidRDefault="00383F6F">
      <w:pPr>
        <w:pStyle w:val="FootnoteText"/>
      </w:pPr>
      <w:r>
        <w:rPr>
          <w:rStyle w:val="FootnoteReference"/>
        </w:rPr>
        <w:footnoteRef/>
      </w:r>
      <w:r>
        <w:t xml:space="preserve"> In particular, whereas CDH60 and </w:t>
      </w:r>
      <w:r w:rsidRPr="006F24DA">
        <w:t>CDH60</w:t>
      </w:r>
      <w:r>
        <w:t>_MA24</w:t>
      </w:r>
      <w:r w:rsidRPr="006F24DA">
        <w:t xml:space="preserve"> </w:t>
      </w:r>
      <w:r>
        <w:t>are used for summer ex post regressions, only CDH60 is used for the ex ante models. See Appendix A for weather variable details</w:t>
      </w:r>
      <w:r w:rsidRPr="003C262F">
        <w:t>.</w:t>
      </w:r>
    </w:p>
  </w:footnote>
  <w:footnote w:id="11">
    <w:p w14:paraId="449BAA39" w14:textId="3E5D3EE7" w:rsidR="00383F6F" w:rsidRPr="00600B12" w:rsidRDefault="00383F6F">
      <w:pPr>
        <w:pStyle w:val="FootnoteText"/>
        <w:rPr>
          <w:rFonts w:asciiTheme="minorHAnsi" w:hAnsiTheme="minorHAnsi" w:cstheme="minorHAnsi"/>
        </w:rPr>
      </w:pPr>
      <w:r w:rsidRPr="00600B12">
        <w:rPr>
          <w:rStyle w:val="FootnoteReference"/>
          <w:rFonts w:asciiTheme="minorHAnsi" w:hAnsiTheme="minorHAnsi" w:cstheme="minorHAnsi"/>
        </w:rPr>
        <w:footnoteRef/>
      </w:r>
      <w:r w:rsidRPr="00600B12">
        <w:rPr>
          <w:rFonts w:asciiTheme="minorHAnsi" w:hAnsiTheme="minorHAnsi" w:cstheme="minorHAnsi"/>
        </w:rPr>
        <w:t xml:space="preserve"> </w:t>
      </w:r>
      <w:r w:rsidRPr="00BC753F">
        <w:rPr>
          <w:rFonts w:asciiTheme="minorHAnsi" w:hAnsiTheme="minorHAnsi" w:cstheme="minorHAnsi"/>
        </w:rPr>
        <w:t>For SCE, we removed the weather variables for SCE’s largest customer only.</w:t>
      </w:r>
    </w:p>
  </w:footnote>
  <w:footnote w:id="12">
    <w:p w14:paraId="684AE940" w14:textId="6783E798" w:rsidR="00383F6F" w:rsidRPr="0004544A" w:rsidRDefault="00383F6F">
      <w:pPr>
        <w:pStyle w:val="FootnoteText"/>
        <w:rPr>
          <w:rFonts w:asciiTheme="minorHAnsi" w:hAnsiTheme="minorHAnsi"/>
        </w:rPr>
      </w:pPr>
      <w:r w:rsidRPr="0004544A">
        <w:rPr>
          <w:rStyle w:val="FootnoteReference"/>
          <w:rFonts w:asciiTheme="minorHAnsi" w:hAnsiTheme="minorHAnsi"/>
        </w:rPr>
        <w:footnoteRef/>
      </w:r>
      <w:r w:rsidRPr="0004544A">
        <w:rPr>
          <w:rFonts w:asciiTheme="minorHAnsi" w:hAnsiTheme="minorHAnsi"/>
        </w:rPr>
        <w:t xml:space="preserve"> Recall that ex ante load impacts are based on ex post FSL achievement ratios. This is the reason that the forecast load impact is greater than the difference between the reference load and the FSL. </w:t>
      </w:r>
    </w:p>
  </w:footnote>
  <w:footnote w:id="13">
    <w:p w14:paraId="7F25E197" w14:textId="77777777" w:rsidR="00383F6F" w:rsidRPr="007772B0" w:rsidRDefault="00383F6F" w:rsidP="007772B0">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THI = </w:t>
      </w:r>
      <w:r w:rsidRPr="007772B0">
        <w:rPr>
          <w:rFonts w:asciiTheme="minorHAnsi" w:hAnsiTheme="minorHAnsi"/>
          <w:i/>
        </w:rPr>
        <w:t>T</w:t>
      </w:r>
      <w:r w:rsidRPr="007772B0">
        <w:rPr>
          <w:rFonts w:asciiTheme="minorHAnsi" w:hAnsiTheme="minorHAnsi"/>
        </w:rPr>
        <w:t xml:space="preserve"> – 0.55 x (1 – </w:t>
      </w:r>
      <w:r w:rsidRPr="007772B0">
        <w:rPr>
          <w:rFonts w:asciiTheme="minorHAnsi" w:hAnsiTheme="minorHAnsi"/>
          <w:i/>
        </w:rPr>
        <w:t>HUM</w:t>
      </w:r>
      <w:r w:rsidRPr="007772B0">
        <w:rPr>
          <w:rFonts w:asciiTheme="minorHAnsi" w:hAnsiTheme="minorHAnsi"/>
        </w:rPr>
        <w:t>) x (</w:t>
      </w:r>
      <w:r w:rsidRPr="007772B0">
        <w:rPr>
          <w:rFonts w:asciiTheme="minorHAnsi" w:hAnsiTheme="minorHAnsi"/>
          <w:i/>
        </w:rPr>
        <w:t>T</w:t>
      </w:r>
      <w:r w:rsidRPr="007772B0">
        <w:rPr>
          <w:rFonts w:asciiTheme="minorHAnsi" w:hAnsiTheme="minorHAnsi"/>
        </w:rPr>
        <w:t xml:space="preserve"> – 58) if </w:t>
      </w:r>
      <w:r w:rsidRPr="007772B0">
        <w:rPr>
          <w:rFonts w:asciiTheme="minorHAnsi" w:hAnsiTheme="minorHAnsi"/>
          <w:i/>
        </w:rPr>
        <w:t>T</w:t>
      </w:r>
      <w:r w:rsidRPr="007772B0">
        <w:rPr>
          <w:rFonts w:asciiTheme="minorHAnsi" w:hAnsiTheme="minorHAnsi"/>
        </w:rPr>
        <w:t xml:space="preserve">&gt;=58 or THI = </w:t>
      </w:r>
      <w:r w:rsidRPr="007772B0">
        <w:rPr>
          <w:rFonts w:asciiTheme="minorHAnsi" w:hAnsiTheme="minorHAnsi"/>
          <w:i/>
        </w:rPr>
        <w:t>T</w:t>
      </w:r>
      <w:r w:rsidRPr="007772B0">
        <w:rPr>
          <w:rFonts w:asciiTheme="minorHAnsi" w:hAnsiTheme="minorHAnsi"/>
        </w:rPr>
        <w:t xml:space="preserve"> if </w:t>
      </w:r>
      <w:r w:rsidRPr="007772B0">
        <w:rPr>
          <w:rFonts w:asciiTheme="minorHAnsi" w:hAnsiTheme="minorHAnsi"/>
          <w:i/>
        </w:rPr>
        <w:t>T</w:t>
      </w:r>
      <w:r w:rsidRPr="007772B0">
        <w:rPr>
          <w:rFonts w:asciiTheme="minorHAnsi" w:hAnsiTheme="minorHAnsi"/>
        </w:rPr>
        <w:t xml:space="preserve">&lt;58, where </w:t>
      </w:r>
      <w:r w:rsidRPr="007772B0">
        <w:rPr>
          <w:rFonts w:asciiTheme="minorHAnsi" w:hAnsiTheme="minorHAnsi"/>
          <w:i/>
        </w:rPr>
        <w:t>T</w:t>
      </w:r>
      <w:r w:rsidRPr="007772B0">
        <w:rPr>
          <w:rFonts w:asciiTheme="minorHAnsi" w:hAnsiTheme="minorHAnsi"/>
        </w:rPr>
        <w:t xml:space="preserve"> = ambient dry-bulb temperature in degrees Fahrenheit and </w:t>
      </w:r>
      <w:r w:rsidRPr="007772B0">
        <w:rPr>
          <w:rFonts w:asciiTheme="minorHAnsi" w:hAnsiTheme="minorHAnsi"/>
          <w:i/>
        </w:rPr>
        <w:t>HUM</w:t>
      </w:r>
      <w:r w:rsidRPr="007772B0">
        <w:rPr>
          <w:rFonts w:asciiTheme="minorHAnsi" w:hAnsiTheme="minorHAnsi"/>
        </w:rPr>
        <w:t xml:space="preserve"> = relative humidity (where 10 percent is expressed as “0.10”).</w:t>
      </w:r>
    </w:p>
  </w:footnote>
  <w:footnote w:id="14">
    <w:p w14:paraId="6B4C5C7B" w14:textId="77777777" w:rsidR="00383F6F" w:rsidRPr="007772B0" w:rsidRDefault="00383F6F" w:rsidP="007772B0">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HI = </w:t>
      </w:r>
      <w:r w:rsidRPr="007772B0">
        <w:rPr>
          <w:rFonts w:asciiTheme="minorHAnsi" w:hAnsiTheme="minorHAnsi"/>
          <w:i/>
        </w:rPr>
        <w:t>c</w:t>
      </w:r>
      <w:r w:rsidRPr="007772B0">
        <w:rPr>
          <w:rFonts w:asciiTheme="minorHAnsi" w:hAnsiTheme="minorHAnsi"/>
          <w:vertAlign w:val="subscript"/>
        </w:rPr>
        <w:t>1</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2</w:t>
      </w:r>
      <w:r w:rsidRPr="007772B0">
        <w:rPr>
          <w:rFonts w:asciiTheme="minorHAnsi" w:hAnsiTheme="minorHAnsi"/>
          <w:i/>
        </w:rPr>
        <w:t>T</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3</w:t>
      </w:r>
      <w:r w:rsidRPr="007772B0">
        <w:rPr>
          <w:rFonts w:asciiTheme="minorHAnsi" w:hAnsiTheme="minorHAnsi"/>
          <w:i/>
        </w:rPr>
        <w: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4</w:t>
      </w:r>
      <w:r w:rsidRPr="007772B0">
        <w:rPr>
          <w:rFonts w:asciiTheme="minorHAnsi" w:hAnsiTheme="minorHAnsi"/>
          <w:i/>
        </w:rPr>
        <w:t>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5</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6</w:t>
      </w:r>
      <w:r w:rsidRPr="007772B0">
        <w:rPr>
          <w:rFonts w:asciiTheme="minorHAnsi" w:hAnsiTheme="minorHAnsi"/>
          <w:i/>
        </w:rPr>
        <w: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7</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i/>
        </w:rPr>
        <w: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8</w:t>
      </w:r>
      <w:r w:rsidRPr="007772B0">
        <w:rPr>
          <w:rFonts w:asciiTheme="minorHAnsi" w:hAnsiTheme="minorHAnsi"/>
          <w:i/>
        </w:rPr>
        <w:t>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9</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i/>
        </w:rPr>
        <w: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10</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11</w:t>
      </w:r>
      <w:r w:rsidRPr="007772B0">
        <w:rPr>
          <w:rFonts w:asciiTheme="minorHAnsi" w:hAnsiTheme="minorHAnsi"/>
          <w:i/>
        </w:rPr>
        <w:t>R</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12</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i/>
        </w:rPr>
        <w:t>R</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13</w:t>
      </w:r>
      <w:r w:rsidRPr="007772B0">
        <w:rPr>
          <w:rFonts w:asciiTheme="minorHAnsi" w:hAnsiTheme="minorHAnsi"/>
          <w:i/>
        </w:rPr>
        <w:t>TR</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14</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i/>
        </w:rPr>
        <w:t>R</w:t>
      </w:r>
      <w:r w:rsidRPr="007772B0">
        <w:rPr>
          <w:rFonts w:asciiTheme="minorHAnsi" w:hAnsiTheme="minorHAnsi"/>
          <w:vertAlign w:val="superscript"/>
        </w:rPr>
        <w:t>2</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15</w:t>
      </w:r>
      <w:r w:rsidRPr="007772B0">
        <w:rPr>
          <w:rFonts w:asciiTheme="minorHAnsi" w:hAnsiTheme="minorHAnsi"/>
          <w:i/>
        </w:rPr>
        <w:t>T</w:t>
      </w:r>
      <w:r w:rsidRPr="007772B0">
        <w:rPr>
          <w:rFonts w:asciiTheme="minorHAnsi" w:hAnsiTheme="minorHAnsi"/>
          <w:vertAlign w:val="superscript"/>
        </w:rPr>
        <w:t>2</w:t>
      </w:r>
      <w:r w:rsidRPr="007772B0">
        <w:rPr>
          <w:rFonts w:asciiTheme="minorHAnsi" w:hAnsiTheme="minorHAnsi"/>
          <w:i/>
        </w:rPr>
        <w:t>R</w:t>
      </w:r>
      <w:r w:rsidRPr="007772B0">
        <w:rPr>
          <w:rFonts w:asciiTheme="minorHAnsi" w:hAnsiTheme="minorHAnsi"/>
          <w:vertAlign w:val="superscript"/>
        </w:rPr>
        <w:t>3</w:t>
      </w:r>
      <w:r w:rsidRPr="007772B0">
        <w:rPr>
          <w:rFonts w:asciiTheme="minorHAnsi" w:hAnsiTheme="minorHAnsi"/>
        </w:rPr>
        <w:t xml:space="preserve"> + </w:t>
      </w:r>
      <w:r w:rsidRPr="007772B0">
        <w:rPr>
          <w:rFonts w:asciiTheme="minorHAnsi" w:hAnsiTheme="minorHAnsi"/>
          <w:i/>
        </w:rPr>
        <w:t>c</w:t>
      </w:r>
      <w:r w:rsidRPr="007772B0">
        <w:rPr>
          <w:rFonts w:asciiTheme="minorHAnsi" w:hAnsiTheme="minorHAnsi"/>
          <w:vertAlign w:val="subscript"/>
        </w:rPr>
        <w:t>16</w:t>
      </w:r>
      <w:r w:rsidRPr="007772B0">
        <w:rPr>
          <w:rFonts w:asciiTheme="minorHAnsi" w:hAnsiTheme="minorHAnsi"/>
          <w:i/>
        </w:rPr>
        <w:t>T</w:t>
      </w:r>
      <w:r w:rsidRPr="007772B0">
        <w:rPr>
          <w:rFonts w:asciiTheme="minorHAnsi" w:hAnsiTheme="minorHAnsi"/>
          <w:vertAlign w:val="superscript"/>
        </w:rPr>
        <w:t>3</w:t>
      </w:r>
      <w:r w:rsidRPr="007772B0">
        <w:rPr>
          <w:rFonts w:asciiTheme="minorHAnsi" w:hAnsiTheme="minorHAnsi"/>
          <w:i/>
        </w:rPr>
        <w:t>R</w:t>
      </w:r>
      <w:r w:rsidRPr="007772B0">
        <w:rPr>
          <w:rFonts w:asciiTheme="minorHAnsi" w:hAnsiTheme="minorHAnsi"/>
          <w:vertAlign w:val="superscript"/>
        </w:rPr>
        <w:t>3</w:t>
      </w:r>
      <w:r w:rsidRPr="007772B0">
        <w:rPr>
          <w:rFonts w:asciiTheme="minorHAnsi" w:hAnsiTheme="minorHAnsi"/>
        </w:rPr>
        <w:t xml:space="preserve">, where </w:t>
      </w:r>
      <w:r w:rsidRPr="007772B0">
        <w:rPr>
          <w:rFonts w:asciiTheme="minorHAnsi" w:hAnsiTheme="minorHAnsi"/>
          <w:i/>
        </w:rPr>
        <w:t>T</w:t>
      </w:r>
      <w:r w:rsidRPr="007772B0">
        <w:rPr>
          <w:rFonts w:asciiTheme="minorHAnsi" w:hAnsiTheme="minorHAnsi"/>
        </w:rPr>
        <w:t xml:space="preserve"> = ambient dry-bulb temperature in degrees Fahrenheit and </w:t>
      </w:r>
      <w:r w:rsidRPr="007772B0">
        <w:rPr>
          <w:rFonts w:asciiTheme="minorHAnsi" w:hAnsiTheme="minorHAnsi"/>
          <w:i/>
        </w:rPr>
        <w:t>R</w:t>
      </w:r>
      <w:r w:rsidRPr="007772B0">
        <w:rPr>
          <w:rFonts w:asciiTheme="minorHAnsi" w:hAnsiTheme="minorHAnsi"/>
        </w:rPr>
        <w:t xml:space="preserve"> = relative humidity (where 10 percent is expressed as “10”). The values for the various </w:t>
      </w:r>
      <w:r w:rsidRPr="007772B0">
        <w:rPr>
          <w:rFonts w:asciiTheme="minorHAnsi" w:hAnsiTheme="minorHAnsi"/>
          <w:i/>
        </w:rPr>
        <w:t>c</w:t>
      </w:r>
      <w:r w:rsidRPr="007772B0">
        <w:rPr>
          <w:rFonts w:asciiTheme="minorHAnsi" w:hAnsiTheme="minorHAnsi"/>
        </w:rPr>
        <w:t xml:space="preserve">’s may be found here: </w:t>
      </w:r>
      <w:hyperlink r:id="rId1" w:history="1">
        <w:r w:rsidRPr="007772B0">
          <w:rPr>
            <w:rStyle w:val="Hyperlink"/>
            <w:rFonts w:asciiTheme="minorHAnsi" w:hAnsiTheme="minorHAnsi"/>
          </w:rPr>
          <w:t>http://en.wikipedia.org/wiki/Heat_index</w:t>
        </w:r>
      </w:hyperlink>
      <w:r w:rsidRPr="007772B0">
        <w:rPr>
          <w:rFonts w:asciiTheme="minorHAnsi" w:hAnsiTheme="minorHAnsi"/>
        </w:rPr>
        <w:t>.</w:t>
      </w:r>
    </w:p>
  </w:footnote>
  <w:footnote w:id="15">
    <w:p w14:paraId="6B84D9FC" w14:textId="6F59FD91" w:rsidR="00383F6F" w:rsidRPr="007772B0" w:rsidRDefault="00383F6F" w:rsidP="007772B0">
      <w:pPr>
        <w:pStyle w:val="FootnoteText"/>
        <w:rPr>
          <w:rFonts w:asciiTheme="minorHAnsi" w:hAnsiTheme="minorHAnsi"/>
        </w:rPr>
      </w:pPr>
      <w:r w:rsidRPr="007772B0">
        <w:rPr>
          <w:rStyle w:val="FootnoteReference"/>
          <w:rFonts w:asciiTheme="minorHAnsi" w:hAnsiTheme="minorHAnsi"/>
        </w:rPr>
        <w:footnoteRef/>
      </w:r>
      <w:r w:rsidRPr="007772B0">
        <w:rPr>
          <w:rFonts w:asciiTheme="minorHAnsi" w:hAnsiTheme="minorHAnsi"/>
        </w:rPr>
        <w:t xml:space="preserve"> Cooling deg</w:t>
      </w:r>
      <w:r>
        <w:rPr>
          <w:rFonts w:asciiTheme="minorHAnsi" w:hAnsiTheme="minorHAnsi"/>
        </w:rPr>
        <w:t>ree hours (CDH) are</w:t>
      </w:r>
      <w:r w:rsidRPr="007772B0">
        <w:rPr>
          <w:rFonts w:asciiTheme="minorHAnsi" w:hAnsiTheme="minorHAnsi"/>
        </w:rPr>
        <w:t xml:space="preserve"> defined as MAX[0, Temperature – Threshold], where Temperature is the hourly temperature in degrees Fahrenheit and Threshold is either 60 or 65 degrees Fahrenheit. Customer-specific CDH values are calculated using data from the most appropriate weather station.</w:t>
      </w:r>
    </w:p>
  </w:footnote>
  <w:footnote w:id="16">
    <w:p w14:paraId="7AEE0CEF" w14:textId="3EB921D5" w:rsidR="00383F6F" w:rsidRPr="005B7EAD" w:rsidRDefault="00383F6F">
      <w:pPr>
        <w:pStyle w:val="FootnoteText"/>
        <w:rPr>
          <w:rFonts w:asciiTheme="minorHAnsi" w:hAnsiTheme="minorHAnsi" w:cstheme="minorHAnsi"/>
        </w:rPr>
      </w:pPr>
      <w:r w:rsidRPr="005B7EAD">
        <w:rPr>
          <w:rStyle w:val="FootnoteReference"/>
          <w:rFonts w:asciiTheme="minorHAnsi" w:hAnsiTheme="minorHAnsi" w:cstheme="minorHAnsi"/>
        </w:rPr>
        <w:footnoteRef/>
      </w:r>
      <w:r w:rsidRPr="005B7EAD">
        <w:rPr>
          <w:rFonts w:asciiTheme="minorHAnsi" w:hAnsiTheme="minorHAnsi" w:cstheme="minorHAnsi"/>
        </w:rPr>
        <w:t xml:space="preserve"> </w:t>
      </w:r>
      <w:r>
        <w:rPr>
          <w:rFonts w:asciiTheme="minorHAnsi" w:hAnsiTheme="minorHAnsi" w:cstheme="minorHAnsi"/>
        </w:rPr>
        <w:t xml:space="preserve">Heating degree hours (HDH) are defined analogously to CDH as </w:t>
      </w:r>
      <w:r w:rsidRPr="007772B0">
        <w:rPr>
          <w:rFonts w:asciiTheme="minorHAnsi" w:hAnsiTheme="minorHAnsi"/>
        </w:rPr>
        <w:t xml:space="preserve">MAX[0, </w:t>
      </w:r>
      <w:r>
        <w:rPr>
          <w:rFonts w:asciiTheme="minorHAnsi" w:hAnsiTheme="minorHAnsi"/>
        </w:rPr>
        <w:t>Threshold</w:t>
      </w:r>
      <w:r w:rsidRPr="007772B0">
        <w:rPr>
          <w:rFonts w:asciiTheme="minorHAnsi" w:hAnsiTheme="minorHAnsi"/>
        </w:rPr>
        <w:t xml:space="preserve"> – T</w:t>
      </w:r>
      <w:r>
        <w:rPr>
          <w:rFonts w:asciiTheme="minorHAnsi" w:hAnsiTheme="minorHAnsi"/>
        </w:rPr>
        <w:t>emperature</w:t>
      </w:r>
      <w:r w:rsidRPr="007772B0">
        <w:rPr>
          <w:rFonts w:asciiTheme="minorHAnsi" w:hAnsiTheme="minorHAnsi"/>
        </w:rPr>
        <w:t>]</w:t>
      </w:r>
      <w:r>
        <w:rPr>
          <w:rFonts w:asciiTheme="minorHAnsi" w:hAnsiTheme="minorHAnsi" w:cstheme="minorHAnsi"/>
        </w:rPr>
        <w:t>.</w:t>
      </w:r>
    </w:p>
  </w:footnote>
  <w:footnote w:id="17">
    <w:p w14:paraId="62AB89C3" w14:textId="0A839799" w:rsidR="00383F6F" w:rsidRPr="005B7EAD" w:rsidRDefault="00383F6F" w:rsidP="007772B0">
      <w:pPr>
        <w:pStyle w:val="FootnoteText"/>
        <w:rPr>
          <w:rFonts w:asciiTheme="minorHAnsi" w:hAnsiTheme="minorHAnsi" w:cstheme="minorHAnsi"/>
        </w:rPr>
      </w:pPr>
      <w:r w:rsidRPr="005B7EAD">
        <w:rPr>
          <w:rStyle w:val="FootnoteReference"/>
          <w:rFonts w:asciiTheme="minorHAnsi" w:hAnsiTheme="minorHAnsi" w:cstheme="minorHAnsi"/>
        </w:rPr>
        <w:footnoteRef/>
      </w:r>
      <w:r w:rsidRPr="005B7EAD">
        <w:rPr>
          <w:rFonts w:asciiTheme="minorHAnsi" w:hAnsiTheme="minorHAnsi" w:cstheme="minorHAnsi"/>
        </w:rPr>
        <w:t xml:space="preserve"> Cooling degree days (CDD) are defined as MAX[0</w:t>
      </w:r>
      <w:r>
        <w:rPr>
          <w:rFonts w:asciiTheme="minorHAnsi" w:hAnsiTheme="minorHAnsi" w:cstheme="minorHAnsi"/>
        </w:rPr>
        <w:t>, (Max Temp + Min Temp) / 2 – Threshold</w:t>
      </w:r>
      <w:r w:rsidRPr="005B7EAD">
        <w:rPr>
          <w:rFonts w:asciiTheme="minorHAnsi" w:hAnsiTheme="minorHAnsi" w:cstheme="minorHAnsi"/>
        </w:rPr>
        <w:t>], where Max Temp is the daily maximum temperature in degrees Fahrenheit and Min Temp is the daily minimum temperature. Customer-specific CDD values are calculated using data from the most appropriate weather station.</w:t>
      </w:r>
    </w:p>
  </w:footnote>
  <w:footnote w:id="18">
    <w:p w14:paraId="1BACD9D5" w14:textId="6752AC99" w:rsidR="00383F6F" w:rsidRPr="005B7EAD" w:rsidRDefault="00383F6F">
      <w:pPr>
        <w:pStyle w:val="FootnoteText"/>
        <w:rPr>
          <w:rFonts w:asciiTheme="minorHAnsi" w:hAnsiTheme="minorHAnsi" w:cstheme="minorHAnsi"/>
        </w:rPr>
      </w:pPr>
      <w:r w:rsidRPr="005B7EAD">
        <w:rPr>
          <w:rStyle w:val="FootnoteReference"/>
          <w:rFonts w:asciiTheme="minorHAnsi" w:hAnsiTheme="minorHAnsi" w:cstheme="minorHAnsi"/>
        </w:rPr>
        <w:footnoteRef/>
      </w:r>
      <w:r w:rsidRPr="005B7EAD">
        <w:rPr>
          <w:rFonts w:asciiTheme="minorHAnsi" w:hAnsiTheme="minorHAnsi" w:cstheme="minorHAnsi"/>
        </w:rPr>
        <w:t xml:space="preserve"> </w:t>
      </w:r>
      <w:r>
        <w:rPr>
          <w:rFonts w:asciiTheme="minorHAnsi" w:hAnsiTheme="minorHAnsi" w:cstheme="minorHAnsi"/>
        </w:rPr>
        <w:t xml:space="preserve">Heating degree days (HDD) are defined analogously to CDD as </w:t>
      </w:r>
      <w:r w:rsidRPr="005B7EAD">
        <w:rPr>
          <w:rFonts w:asciiTheme="minorHAnsi" w:hAnsiTheme="minorHAnsi" w:cstheme="minorHAnsi"/>
        </w:rPr>
        <w:t>MAX[0</w:t>
      </w:r>
      <w:r>
        <w:rPr>
          <w:rFonts w:asciiTheme="minorHAnsi" w:hAnsiTheme="minorHAnsi" w:cstheme="minorHAnsi"/>
        </w:rPr>
        <w:t>, Threshold – (Max Temp + Min Temp) /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A6D2D" w14:textId="77777777" w:rsidR="00383F6F" w:rsidRDefault="00383F6F">
    <w:pPr>
      <w:pStyle w:val="Header"/>
    </w:pPr>
    <w:r>
      <w:rPr>
        <w:noProof/>
      </w:rPr>
      <w:drawing>
        <wp:inline distT="0" distB="0" distL="0" distR="0" wp14:anchorId="6265FF2B" wp14:editId="7DFAFF04">
          <wp:extent cx="3267075" cy="1009650"/>
          <wp:effectExtent l="0" t="0" r="9525" b="0"/>
          <wp:docPr id="1" name="Picture 10" descr="CA Energy Consul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 Energy Consulting"/>
                  <pic:cNvPicPr>
                    <a:picLocks noChangeAspect="1" noChangeArrowheads="1"/>
                  </pic:cNvPicPr>
                </pic:nvPicPr>
                <pic:blipFill>
                  <a:blip r:embed="rId1">
                    <a:extLst>
                      <a:ext uri="{28A0092B-C50C-407E-A947-70E740481C1C}">
                        <a14:useLocalDpi xmlns:a14="http://schemas.microsoft.com/office/drawing/2010/main" val="0"/>
                      </a:ext>
                    </a:extLst>
                  </a:blip>
                  <a:srcRect l="12318"/>
                  <a:stretch>
                    <a:fillRect/>
                  </a:stretch>
                </pic:blipFill>
                <pic:spPr bwMode="auto">
                  <a:xfrm>
                    <a:off x="0" y="0"/>
                    <a:ext cx="3267075" cy="10096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084B6" w14:textId="77777777" w:rsidR="00383F6F" w:rsidRDefault="00383F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C1335"/>
    <w:multiLevelType w:val="hybridMultilevel"/>
    <w:tmpl w:val="FD1834B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154202"/>
    <w:multiLevelType w:val="hybridMultilevel"/>
    <w:tmpl w:val="085E45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C868DA"/>
    <w:multiLevelType w:val="hybridMultilevel"/>
    <w:tmpl w:val="856AA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934BEB"/>
    <w:multiLevelType w:val="hybridMultilevel"/>
    <w:tmpl w:val="5B124B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00523B1"/>
    <w:multiLevelType w:val="hybridMultilevel"/>
    <w:tmpl w:val="3BAC8910"/>
    <w:lvl w:ilvl="0" w:tplc="77800714">
      <w:start w:val="1"/>
      <w:numFmt w:val="decimal"/>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1E752C9"/>
    <w:multiLevelType w:val="hybridMultilevel"/>
    <w:tmpl w:val="7BCE21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F74B7C"/>
    <w:multiLevelType w:val="hybridMultilevel"/>
    <w:tmpl w:val="1DC68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1A7A8B"/>
    <w:multiLevelType w:val="hybridMultilevel"/>
    <w:tmpl w:val="BA049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8B2B9E"/>
    <w:multiLevelType w:val="hybridMultilevel"/>
    <w:tmpl w:val="0C7E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9036A5"/>
    <w:multiLevelType w:val="hybridMultilevel"/>
    <w:tmpl w:val="2220AF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3030CA"/>
    <w:multiLevelType w:val="hybridMultilevel"/>
    <w:tmpl w:val="04FA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5A7E60"/>
    <w:multiLevelType w:val="hybridMultilevel"/>
    <w:tmpl w:val="0F1E4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5D57457"/>
    <w:multiLevelType w:val="hybridMultilevel"/>
    <w:tmpl w:val="119E261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721D7FCB"/>
    <w:multiLevelType w:val="hybridMultilevel"/>
    <w:tmpl w:val="0C7E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8355E45"/>
    <w:multiLevelType w:val="hybridMultilevel"/>
    <w:tmpl w:val="9F1437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EE14889"/>
    <w:multiLevelType w:val="hybridMultilevel"/>
    <w:tmpl w:val="75AE3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
  </w:num>
  <w:num w:numId="4">
    <w:abstractNumId w:val="14"/>
  </w:num>
  <w:num w:numId="5">
    <w:abstractNumId w:val="11"/>
  </w:num>
  <w:num w:numId="6">
    <w:abstractNumId w:val="0"/>
  </w:num>
  <w:num w:numId="7">
    <w:abstractNumId w:val="5"/>
  </w:num>
  <w:num w:numId="8">
    <w:abstractNumId w:val="2"/>
  </w:num>
  <w:num w:numId="9">
    <w:abstractNumId w:val="8"/>
  </w:num>
  <w:num w:numId="10">
    <w:abstractNumId w:val="10"/>
  </w:num>
  <w:num w:numId="11">
    <w:abstractNumId w:val="4"/>
  </w:num>
  <w:num w:numId="12">
    <w:abstractNumId w:val="7"/>
  </w:num>
  <w:num w:numId="13">
    <w:abstractNumId w:val="15"/>
  </w:num>
  <w:num w:numId="14">
    <w:abstractNumId w:val="12"/>
  </w:num>
  <w:num w:numId="15">
    <w:abstractNumId w:val="6"/>
  </w:num>
  <w:num w:numId="16">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152"/>
    <w:rsid w:val="000003F4"/>
    <w:rsid w:val="00000F64"/>
    <w:rsid w:val="00001114"/>
    <w:rsid w:val="0000185B"/>
    <w:rsid w:val="000020F2"/>
    <w:rsid w:val="00002343"/>
    <w:rsid w:val="0000252B"/>
    <w:rsid w:val="00002762"/>
    <w:rsid w:val="0000300C"/>
    <w:rsid w:val="00003581"/>
    <w:rsid w:val="00003F3D"/>
    <w:rsid w:val="00005BFB"/>
    <w:rsid w:val="00006EAE"/>
    <w:rsid w:val="00010ABB"/>
    <w:rsid w:val="0001103F"/>
    <w:rsid w:val="000126F6"/>
    <w:rsid w:val="00012890"/>
    <w:rsid w:val="00012EAE"/>
    <w:rsid w:val="00013CF1"/>
    <w:rsid w:val="0001546C"/>
    <w:rsid w:val="00015F7C"/>
    <w:rsid w:val="00016547"/>
    <w:rsid w:val="000166D4"/>
    <w:rsid w:val="00016871"/>
    <w:rsid w:val="0001729D"/>
    <w:rsid w:val="00017E85"/>
    <w:rsid w:val="00020A68"/>
    <w:rsid w:val="00020B08"/>
    <w:rsid w:val="00020B85"/>
    <w:rsid w:val="000228FB"/>
    <w:rsid w:val="000236E4"/>
    <w:rsid w:val="00023781"/>
    <w:rsid w:val="00023B81"/>
    <w:rsid w:val="000266B6"/>
    <w:rsid w:val="00026948"/>
    <w:rsid w:val="00027555"/>
    <w:rsid w:val="0002766D"/>
    <w:rsid w:val="00027862"/>
    <w:rsid w:val="000278A7"/>
    <w:rsid w:val="00027D93"/>
    <w:rsid w:val="00030F74"/>
    <w:rsid w:val="0003244D"/>
    <w:rsid w:val="000334AA"/>
    <w:rsid w:val="00033523"/>
    <w:rsid w:val="00033B2D"/>
    <w:rsid w:val="00033BE8"/>
    <w:rsid w:val="00033EBC"/>
    <w:rsid w:val="00034D36"/>
    <w:rsid w:val="00036433"/>
    <w:rsid w:val="000367FE"/>
    <w:rsid w:val="00037539"/>
    <w:rsid w:val="00037AE7"/>
    <w:rsid w:val="00040B1B"/>
    <w:rsid w:val="00040CDD"/>
    <w:rsid w:val="00041055"/>
    <w:rsid w:val="00042286"/>
    <w:rsid w:val="00044F79"/>
    <w:rsid w:val="000452FA"/>
    <w:rsid w:val="0004544A"/>
    <w:rsid w:val="0004679B"/>
    <w:rsid w:val="00047B5B"/>
    <w:rsid w:val="00050370"/>
    <w:rsid w:val="00050B8A"/>
    <w:rsid w:val="0005199B"/>
    <w:rsid w:val="00053AAD"/>
    <w:rsid w:val="00053DF3"/>
    <w:rsid w:val="00053E81"/>
    <w:rsid w:val="00054B50"/>
    <w:rsid w:val="00055160"/>
    <w:rsid w:val="0005535F"/>
    <w:rsid w:val="000564F2"/>
    <w:rsid w:val="00056855"/>
    <w:rsid w:val="00060B4B"/>
    <w:rsid w:val="00061320"/>
    <w:rsid w:val="00061547"/>
    <w:rsid w:val="00061C89"/>
    <w:rsid w:val="00061E03"/>
    <w:rsid w:val="00061FC5"/>
    <w:rsid w:val="00062D9B"/>
    <w:rsid w:val="0006471C"/>
    <w:rsid w:val="000651C0"/>
    <w:rsid w:val="000652FF"/>
    <w:rsid w:val="0006560A"/>
    <w:rsid w:val="00067329"/>
    <w:rsid w:val="000700BB"/>
    <w:rsid w:val="00070607"/>
    <w:rsid w:val="00070D46"/>
    <w:rsid w:val="00071339"/>
    <w:rsid w:val="00071849"/>
    <w:rsid w:val="0007241B"/>
    <w:rsid w:val="00072751"/>
    <w:rsid w:val="0007282E"/>
    <w:rsid w:val="00072937"/>
    <w:rsid w:val="00073710"/>
    <w:rsid w:val="00074828"/>
    <w:rsid w:val="000752DD"/>
    <w:rsid w:val="000758C4"/>
    <w:rsid w:val="0007646E"/>
    <w:rsid w:val="00076CA1"/>
    <w:rsid w:val="00077AF3"/>
    <w:rsid w:val="00077BB9"/>
    <w:rsid w:val="00080278"/>
    <w:rsid w:val="0008198D"/>
    <w:rsid w:val="00082E39"/>
    <w:rsid w:val="00083537"/>
    <w:rsid w:val="0008397B"/>
    <w:rsid w:val="00083A7E"/>
    <w:rsid w:val="00083F91"/>
    <w:rsid w:val="00084917"/>
    <w:rsid w:val="000854B4"/>
    <w:rsid w:val="00085A1E"/>
    <w:rsid w:val="00086A3F"/>
    <w:rsid w:val="00086C15"/>
    <w:rsid w:val="000871BA"/>
    <w:rsid w:val="000875F2"/>
    <w:rsid w:val="000877C4"/>
    <w:rsid w:val="00087B03"/>
    <w:rsid w:val="00087FBB"/>
    <w:rsid w:val="00090823"/>
    <w:rsid w:val="00092448"/>
    <w:rsid w:val="00093A20"/>
    <w:rsid w:val="00094ED8"/>
    <w:rsid w:val="000953AB"/>
    <w:rsid w:val="000978C2"/>
    <w:rsid w:val="000A159F"/>
    <w:rsid w:val="000A1B9B"/>
    <w:rsid w:val="000A20E4"/>
    <w:rsid w:val="000A271C"/>
    <w:rsid w:val="000A2934"/>
    <w:rsid w:val="000A30CE"/>
    <w:rsid w:val="000A3F28"/>
    <w:rsid w:val="000A5415"/>
    <w:rsid w:val="000A5C9F"/>
    <w:rsid w:val="000A709E"/>
    <w:rsid w:val="000A774B"/>
    <w:rsid w:val="000B0C9B"/>
    <w:rsid w:val="000B223E"/>
    <w:rsid w:val="000B246D"/>
    <w:rsid w:val="000B26CD"/>
    <w:rsid w:val="000B35D6"/>
    <w:rsid w:val="000B3C39"/>
    <w:rsid w:val="000B3E40"/>
    <w:rsid w:val="000B4FFE"/>
    <w:rsid w:val="000B5063"/>
    <w:rsid w:val="000B5A5D"/>
    <w:rsid w:val="000B5F71"/>
    <w:rsid w:val="000C0049"/>
    <w:rsid w:val="000C0369"/>
    <w:rsid w:val="000C05A8"/>
    <w:rsid w:val="000C2DD5"/>
    <w:rsid w:val="000C3E81"/>
    <w:rsid w:val="000C4500"/>
    <w:rsid w:val="000C72E7"/>
    <w:rsid w:val="000C7BA3"/>
    <w:rsid w:val="000D0681"/>
    <w:rsid w:val="000D06FE"/>
    <w:rsid w:val="000D1A07"/>
    <w:rsid w:val="000D1BFC"/>
    <w:rsid w:val="000D1C75"/>
    <w:rsid w:val="000D3801"/>
    <w:rsid w:val="000D4772"/>
    <w:rsid w:val="000D4C10"/>
    <w:rsid w:val="000D65CE"/>
    <w:rsid w:val="000E113A"/>
    <w:rsid w:val="000E177C"/>
    <w:rsid w:val="000E20AC"/>
    <w:rsid w:val="000E211A"/>
    <w:rsid w:val="000E2230"/>
    <w:rsid w:val="000E22F3"/>
    <w:rsid w:val="000E3091"/>
    <w:rsid w:val="000E32E6"/>
    <w:rsid w:val="000E35C3"/>
    <w:rsid w:val="000E38E8"/>
    <w:rsid w:val="000E553B"/>
    <w:rsid w:val="000E5ADF"/>
    <w:rsid w:val="000E6034"/>
    <w:rsid w:val="000F1539"/>
    <w:rsid w:val="000F2EAB"/>
    <w:rsid w:val="000F2F8E"/>
    <w:rsid w:val="000F4111"/>
    <w:rsid w:val="000F5952"/>
    <w:rsid w:val="000F5EF4"/>
    <w:rsid w:val="000F6635"/>
    <w:rsid w:val="000F694E"/>
    <w:rsid w:val="000F6E31"/>
    <w:rsid w:val="000F75A8"/>
    <w:rsid w:val="000F77A4"/>
    <w:rsid w:val="000F7C62"/>
    <w:rsid w:val="00101116"/>
    <w:rsid w:val="0010166C"/>
    <w:rsid w:val="00101808"/>
    <w:rsid w:val="00103591"/>
    <w:rsid w:val="001047CE"/>
    <w:rsid w:val="00104D21"/>
    <w:rsid w:val="001078BE"/>
    <w:rsid w:val="001101A4"/>
    <w:rsid w:val="00111784"/>
    <w:rsid w:val="001117C2"/>
    <w:rsid w:val="00111A6E"/>
    <w:rsid w:val="00111E69"/>
    <w:rsid w:val="00111FB1"/>
    <w:rsid w:val="00112F67"/>
    <w:rsid w:val="00113ECB"/>
    <w:rsid w:val="001140E5"/>
    <w:rsid w:val="00114823"/>
    <w:rsid w:val="0011560E"/>
    <w:rsid w:val="00116D31"/>
    <w:rsid w:val="001208EF"/>
    <w:rsid w:val="00120C50"/>
    <w:rsid w:val="00120F3A"/>
    <w:rsid w:val="00122B24"/>
    <w:rsid w:val="001249A4"/>
    <w:rsid w:val="00125195"/>
    <w:rsid w:val="001253E3"/>
    <w:rsid w:val="0012548E"/>
    <w:rsid w:val="00125A72"/>
    <w:rsid w:val="00127A10"/>
    <w:rsid w:val="00130284"/>
    <w:rsid w:val="00130EA2"/>
    <w:rsid w:val="00131108"/>
    <w:rsid w:val="00131131"/>
    <w:rsid w:val="00131574"/>
    <w:rsid w:val="00131683"/>
    <w:rsid w:val="0013181E"/>
    <w:rsid w:val="00131A27"/>
    <w:rsid w:val="00133091"/>
    <w:rsid w:val="00136593"/>
    <w:rsid w:val="0013701C"/>
    <w:rsid w:val="001401B3"/>
    <w:rsid w:val="00140892"/>
    <w:rsid w:val="001408A6"/>
    <w:rsid w:val="00142887"/>
    <w:rsid w:val="00142E2B"/>
    <w:rsid w:val="00142FAC"/>
    <w:rsid w:val="00143366"/>
    <w:rsid w:val="0014645D"/>
    <w:rsid w:val="00146E50"/>
    <w:rsid w:val="00146FDB"/>
    <w:rsid w:val="001473A3"/>
    <w:rsid w:val="00147504"/>
    <w:rsid w:val="00151450"/>
    <w:rsid w:val="0015173F"/>
    <w:rsid w:val="00152B65"/>
    <w:rsid w:val="00152D63"/>
    <w:rsid w:val="00152F96"/>
    <w:rsid w:val="001530A9"/>
    <w:rsid w:val="001531FF"/>
    <w:rsid w:val="00153203"/>
    <w:rsid w:val="0015403B"/>
    <w:rsid w:val="0015489E"/>
    <w:rsid w:val="00154C99"/>
    <w:rsid w:val="00154E17"/>
    <w:rsid w:val="001557DB"/>
    <w:rsid w:val="0015637E"/>
    <w:rsid w:val="00156F79"/>
    <w:rsid w:val="0015715C"/>
    <w:rsid w:val="0016236F"/>
    <w:rsid w:val="001629ED"/>
    <w:rsid w:val="00162E24"/>
    <w:rsid w:val="0016376A"/>
    <w:rsid w:val="00163A47"/>
    <w:rsid w:val="0016489A"/>
    <w:rsid w:val="00165413"/>
    <w:rsid w:val="00166CD4"/>
    <w:rsid w:val="00166F7C"/>
    <w:rsid w:val="00167140"/>
    <w:rsid w:val="00167853"/>
    <w:rsid w:val="001678F9"/>
    <w:rsid w:val="001709C4"/>
    <w:rsid w:val="001710A9"/>
    <w:rsid w:val="001718A7"/>
    <w:rsid w:val="001729A0"/>
    <w:rsid w:val="00172D95"/>
    <w:rsid w:val="00173469"/>
    <w:rsid w:val="00173834"/>
    <w:rsid w:val="001744E6"/>
    <w:rsid w:val="001746CA"/>
    <w:rsid w:val="00174CFD"/>
    <w:rsid w:val="001753F1"/>
    <w:rsid w:val="00175EEA"/>
    <w:rsid w:val="00175FA8"/>
    <w:rsid w:val="00176C49"/>
    <w:rsid w:val="001771A0"/>
    <w:rsid w:val="00180C13"/>
    <w:rsid w:val="00180EC6"/>
    <w:rsid w:val="00181404"/>
    <w:rsid w:val="00182CD6"/>
    <w:rsid w:val="001832DE"/>
    <w:rsid w:val="00183BAE"/>
    <w:rsid w:val="00183C04"/>
    <w:rsid w:val="00184634"/>
    <w:rsid w:val="00185ED9"/>
    <w:rsid w:val="00186058"/>
    <w:rsid w:val="0018656A"/>
    <w:rsid w:val="00186A8C"/>
    <w:rsid w:val="00186DFA"/>
    <w:rsid w:val="00187C3A"/>
    <w:rsid w:val="00187D14"/>
    <w:rsid w:val="00190015"/>
    <w:rsid w:val="001903D2"/>
    <w:rsid w:val="00191975"/>
    <w:rsid w:val="00191E4D"/>
    <w:rsid w:val="00191EC6"/>
    <w:rsid w:val="0019201F"/>
    <w:rsid w:val="001921B3"/>
    <w:rsid w:val="00194793"/>
    <w:rsid w:val="00194B30"/>
    <w:rsid w:val="00194CA7"/>
    <w:rsid w:val="0019591D"/>
    <w:rsid w:val="00195A83"/>
    <w:rsid w:val="001964C6"/>
    <w:rsid w:val="00197099"/>
    <w:rsid w:val="001978D4"/>
    <w:rsid w:val="001A0377"/>
    <w:rsid w:val="001A04EA"/>
    <w:rsid w:val="001A0B8C"/>
    <w:rsid w:val="001A207D"/>
    <w:rsid w:val="001A21C5"/>
    <w:rsid w:val="001A2B05"/>
    <w:rsid w:val="001A32D8"/>
    <w:rsid w:val="001A4911"/>
    <w:rsid w:val="001A561F"/>
    <w:rsid w:val="001B06A2"/>
    <w:rsid w:val="001B32EE"/>
    <w:rsid w:val="001B4F37"/>
    <w:rsid w:val="001B53F1"/>
    <w:rsid w:val="001B5C74"/>
    <w:rsid w:val="001B611F"/>
    <w:rsid w:val="001B68E7"/>
    <w:rsid w:val="001B7BBB"/>
    <w:rsid w:val="001C0903"/>
    <w:rsid w:val="001C090F"/>
    <w:rsid w:val="001C0C48"/>
    <w:rsid w:val="001C17B6"/>
    <w:rsid w:val="001C3116"/>
    <w:rsid w:val="001C3AF5"/>
    <w:rsid w:val="001C3EDC"/>
    <w:rsid w:val="001C5048"/>
    <w:rsid w:val="001C63DA"/>
    <w:rsid w:val="001C66E9"/>
    <w:rsid w:val="001C6908"/>
    <w:rsid w:val="001C6A3B"/>
    <w:rsid w:val="001C74C8"/>
    <w:rsid w:val="001C75E0"/>
    <w:rsid w:val="001C7D45"/>
    <w:rsid w:val="001D0A56"/>
    <w:rsid w:val="001D0ABA"/>
    <w:rsid w:val="001D1814"/>
    <w:rsid w:val="001D2423"/>
    <w:rsid w:val="001D29E0"/>
    <w:rsid w:val="001D29F7"/>
    <w:rsid w:val="001D2BA7"/>
    <w:rsid w:val="001D3348"/>
    <w:rsid w:val="001D3D48"/>
    <w:rsid w:val="001D4ED4"/>
    <w:rsid w:val="001D4F2E"/>
    <w:rsid w:val="001D5951"/>
    <w:rsid w:val="001D6450"/>
    <w:rsid w:val="001D6FA1"/>
    <w:rsid w:val="001E0054"/>
    <w:rsid w:val="001E060E"/>
    <w:rsid w:val="001E1B3C"/>
    <w:rsid w:val="001E1E8C"/>
    <w:rsid w:val="001E272B"/>
    <w:rsid w:val="001E2E50"/>
    <w:rsid w:val="001E312F"/>
    <w:rsid w:val="001E35CE"/>
    <w:rsid w:val="001E3C21"/>
    <w:rsid w:val="001E4A1D"/>
    <w:rsid w:val="001E535C"/>
    <w:rsid w:val="001E54C2"/>
    <w:rsid w:val="001E5CB7"/>
    <w:rsid w:val="001E6247"/>
    <w:rsid w:val="001E75B6"/>
    <w:rsid w:val="001F00B0"/>
    <w:rsid w:val="001F0D7D"/>
    <w:rsid w:val="001F2F5D"/>
    <w:rsid w:val="001F334D"/>
    <w:rsid w:val="001F51BA"/>
    <w:rsid w:val="001F603C"/>
    <w:rsid w:val="001F625B"/>
    <w:rsid w:val="001F65E7"/>
    <w:rsid w:val="001F7B26"/>
    <w:rsid w:val="0020029B"/>
    <w:rsid w:val="00200840"/>
    <w:rsid w:val="0020484C"/>
    <w:rsid w:val="00204881"/>
    <w:rsid w:val="0020493B"/>
    <w:rsid w:val="00205D5C"/>
    <w:rsid w:val="0020601E"/>
    <w:rsid w:val="002069A9"/>
    <w:rsid w:val="00207080"/>
    <w:rsid w:val="002070F1"/>
    <w:rsid w:val="00207799"/>
    <w:rsid w:val="002106E1"/>
    <w:rsid w:val="002114B4"/>
    <w:rsid w:val="00211FB2"/>
    <w:rsid w:val="00213223"/>
    <w:rsid w:val="00213669"/>
    <w:rsid w:val="00213D89"/>
    <w:rsid w:val="00214534"/>
    <w:rsid w:val="002149D8"/>
    <w:rsid w:val="00215EC1"/>
    <w:rsid w:val="002177EE"/>
    <w:rsid w:val="00217EF8"/>
    <w:rsid w:val="00220128"/>
    <w:rsid w:val="002211F2"/>
    <w:rsid w:val="002234C5"/>
    <w:rsid w:val="002238F6"/>
    <w:rsid w:val="002242DC"/>
    <w:rsid w:val="00225179"/>
    <w:rsid w:val="00225C2F"/>
    <w:rsid w:val="00226605"/>
    <w:rsid w:val="0022673D"/>
    <w:rsid w:val="002272E1"/>
    <w:rsid w:val="00231284"/>
    <w:rsid w:val="00231E46"/>
    <w:rsid w:val="00232B2B"/>
    <w:rsid w:val="00233627"/>
    <w:rsid w:val="00233748"/>
    <w:rsid w:val="00233D04"/>
    <w:rsid w:val="00234324"/>
    <w:rsid w:val="0023436F"/>
    <w:rsid w:val="002345EA"/>
    <w:rsid w:val="00234E9F"/>
    <w:rsid w:val="0023506A"/>
    <w:rsid w:val="0023640D"/>
    <w:rsid w:val="002366EC"/>
    <w:rsid w:val="002367AB"/>
    <w:rsid w:val="0023754E"/>
    <w:rsid w:val="00241599"/>
    <w:rsid w:val="002423D3"/>
    <w:rsid w:val="00242996"/>
    <w:rsid w:val="0024365E"/>
    <w:rsid w:val="002459F5"/>
    <w:rsid w:val="002463DB"/>
    <w:rsid w:val="002475D9"/>
    <w:rsid w:val="00247C06"/>
    <w:rsid w:val="0025105F"/>
    <w:rsid w:val="00252015"/>
    <w:rsid w:val="0025275F"/>
    <w:rsid w:val="0025350D"/>
    <w:rsid w:val="0025461A"/>
    <w:rsid w:val="00254E79"/>
    <w:rsid w:val="00255626"/>
    <w:rsid w:val="0025748C"/>
    <w:rsid w:val="00257A58"/>
    <w:rsid w:val="00257B5A"/>
    <w:rsid w:val="00260150"/>
    <w:rsid w:val="002607FF"/>
    <w:rsid w:val="00260BC0"/>
    <w:rsid w:val="00261AB5"/>
    <w:rsid w:val="00261EBC"/>
    <w:rsid w:val="00262D55"/>
    <w:rsid w:val="00262E23"/>
    <w:rsid w:val="002645C6"/>
    <w:rsid w:val="00264A3C"/>
    <w:rsid w:val="00264B54"/>
    <w:rsid w:val="002657A9"/>
    <w:rsid w:val="00265B5B"/>
    <w:rsid w:val="00265B9F"/>
    <w:rsid w:val="002664B4"/>
    <w:rsid w:val="0026739A"/>
    <w:rsid w:val="0026770D"/>
    <w:rsid w:val="00267CEA"/>
    <w:rsid w:val="002712E7"/>
    <w:rsid w:val="00271F06"/>
    <w:rsid w:val="002754FD"/>
    <w:rsid w:val="0027601F"/>
    <w:rsid w:val="002761E9"/>
    <w:rsid w:val="002767BD"/>
    <w:rsid w:val="00276B4A"/>
    <w:rsid w:val="00277061"/>
    <w:rsid w:val="0027718A"/>
    <w:rsid w:val="00277675"/>
    <w:rsid w:val="00283592"/>
    <w:rsid w:val="00283810"/>
    <w:rsid w:val="00285AB1"/>
    <w:rsid w:val="00285CD2"/>
    <w:rsid w:val="00286570"/>
    <w:rsid w:val="00286B5E"/>
    <w:rsid w:val="002870B7"/>
    <w:rsid w:val="0028741C"/>
    <w:rsid w:val="00287626"/>
    <w:rsid w:val="0029004A"/>
    <w:rsid w:val="00290B5F"/>
    <w:rsid w:val="00290B6A"/>
    <w:rsid w:val="00290C49"/>
    <w:rsid w:val="00290F08"/>
    <w:rsid w:val="0029118D"/>
    <w:rsid w:val="00291D0E"/>
    <w:rsid w:val="002921BB"/>
    <w:rsid w:val="0029259B"/>
    <w:rsid w:val="00292968"/>
    <w:rsid w:val="00292F35"/>
    <w:rsid w:val="00294F97"/>
    <w:rsid w:val="002955B5"/>
    <w:rsid w:val="00295E9B"/>
    <w:rsid w:val="00296733"/>
    <w:rsid w:val="00297B1B"/>
    <w:rsid w:val="00297F25"/>
    <w:rsid w:val="002A07A9"/>
    <w:rsid w:val="002A17C1"/>
    <w:rsid w:val="002A2AF0"/>
    <w:rsid w:val="002A2FD4"/>
    <w:rsid w:val="002A4A62"/>
    <w:rsid w:val="002A69BC"/>
    <w:rsid w:val="002A6ECF"/>
    <w:rsid w:val="002A7556"/>
    <w:rsid w:val="002A7C6E"/>
    <w:rsid w:val="002B0174"/>
    <w:rsid w:val="002B0E14"/>
    <w:rsid w:val="002B153C"/>
    <w:rsid w:val="002B25B5"/>
    <w:rsid w:val="002B74D3"/>
    <w:rsid w:val="002C1B6B"/>
    <w:rsid w:val="002C1E33"/>
    <w:rsid w:val="002C259A"/>
    <w:rsid w:val="002C2664"/>
    <w:rsid w:val="002C2984"/>
    <w:rsid w:val="002C2B44"/>
    <w:rsid w:val="002C2B90"/>
    <w:rsid w:val="002C2FB2"/>
    <w:rsid w:val="002C31CE"/>
    <w:rsid w:val="002C3B3B"/>
    <w:rsid w:val="002C417F"/>
    <w:rsid w:val="002C48D8"/>
    <w:rsid w:val="002C51D7"/>
    <w:rsid w:val="002C599C"/>
    <w:rsid w:val="002C5FCB"/>
    <w:rsid w:val="002C6B1B"/>
    <w:rsid w:val="002C760E"/>
    <w:rsid w:val="002C7F8A"/>
    <w:rsid w:val="002D0A81"/>
    <w:rsid w:val="002D2A36"/>
    <w:rsid w:val="002D2FD9"/>
    <w:rsid w:val="002D3035"/>
    <w:rsid w:val="002D3452"/>
    <w:rsid w:val="002D39E4"/>
    <w:rsid w:val="002D50DA"/>
    <w:rsid w:val="002D5672"/>
    <w:rsid w:val="002D66CA"/>
    <w:rsid w:val="002D7DBB"/>
    <w:rsid w:val="002E0161"/>
    <w:rsid w:val="002E1733"/>
    <w:rsid w:val="002E2F5A"/>
    <w:rsid w:val="002E3452"/>
    <w:rsid w:val="002E37CC"/>
    <w:rsid w:val="002E38E6"/>
    <w:rsid w:val="002E44A1"/>
    <w:rsid w:val="002E5323"/>
    <w:rsid w:val="002F0762"/>
    <w:rsid w:val="002F0EE6"/>
    <w:rsid w:val="002F16B5"/>
    <w:rsid w:val="002F1A73"/>
    <w:rsid w:val="002F29FA"/>
    <w:rsid w:val="002F3349"/>
    <w:rsid w:val="002F4B17"/>
    <w:rsid w:val="002F58C0"/>
    <w:rsid w:val="002F5CE4"/>
    <w:rsid w:val="002F62E4"/>
    <w:rsid w:val="002F6A10"/>
    <w:rsid w:val="002F744C"/>
    <w:rsid w:val="002F7583"/>
    <w:rsid w:val="003001D6"/>
    <w:rsid w:val="00300F62"/>
    <w:rsid w:val="00301615"/>
    <w:rsid w:val="0030162C"/>
    <w:rsid w:val="00302E41"/>
    <w:rsid w:val="003031D1"/>
    <w:rsid w:val="003037F1"/>
    <w:rsid w:val="00303891"/>
    <w:rsid w:val="0030549A"/>
    <w:rsid w:val="00305791"/>
    <w:rsid w:val="0030595A"/>
    <w:rsid w:val="00305DDF"/>
    <w:rsid w:val="00306499"/>
    <w:rsid w:val="00306976"/>
    <w:rsid w:val="00307FDD"/>
    <w:rsid w:val="00311267"/>
    <w:rsid w:val="00312499"/>
    <w:rsid w:val="003126A4"/>
    <w:rsid w:val="003127BD"/>
    <w:rsid w:val="00313AAF"/>
    <w:rsid w:val="0031484F"/>
    <w:rsid w:val="00315582"/>
    <w:rsid w:val="00315762"/>
    <w:rsid w:val="00315F13"/>
    <w:rsid w:val="0031778A"/>
    <w:rsid w:val="00317EA6"/>
    <w:rsid w:val="0032096C"/>
    <w:rsid w:val="00321E09"/>
    <w:rsid w:val="00322173"/>
    <w:rsid w:val="00322DFF"/>
    <w:rsid w:val="00323E2C"/>
    <w:rsid w:val="003257F7"/>
    <w:rsid w:val="00326344"/>
    <w:rsid w:val="00327240"/>
    <w:rsid w:val="00327A22"/>
    <w:rsid w:val="00327B12"/>
    <w:rsid w:val="003324B3"/>
    <w:rsid w:val="00332D79"/>
    <w:rsid w:val="00333282"/>
    <w:rsid w:val="00333379"/>
    <w:rsid w:val="00333C87"/>
    <w:rsid w:val="00334041"/>
    <w:rsid w:val="00334A94"/>
    <w:rsid w:val="003353D9"/>
    <w:rsid w:val="00335C46"/>
    <w:rsid w:val="003403C0"/>
    <w:rsid w:val="00340459"/>
    <w:rsid w:val="00340989"/>
    <w:rsid w:val="003436A8"/>
    <w:rsid w:val="00343ACC"/>
    <w:rsid w:val="00343E08"/>
    <w:rsid w:val="0034461D"/>
    <w:rsid w:val="003447FB"/>
    <w:rsid w:val="00345A7F"/>
    <w:rsid w:val="00346DF7"/>
    <w:rsid w:val="00346E79"/>
    <w:rsid w:val="00347DA7"/>
    <w:rsid w:val="00347EF7"/>
    <w:rsid w:val="0035050B"/>
    <w:rsid w:val="0035077D"/>
    <w:rsid w:val="00351B11"/>
    <w:rsid w:val="00354A34"/>
    <w:rsid w:val="00354AD4"/>
    <w:rsid w:val="0035606C"/>
    <w:rsid w:val="00357044"/>
    <w:rsid w:val="003576B2"/>
    <w:rsid w:val="003601DE"/>
    <w:rsid w:val="0036048B"/>
    <w:rsid w:val="00361B4B"/>
    <w:rsid w:val="00361CA8"/>
    <w:rsid w:val="0036226C"/>
    <w:rsid w:val="00362870"/>
    <w:rsid w:val="00363778"/>
    <w:rsid w:val="00363B84"/>
    <w:rsid w:val="00363C63"/>
    <w:rsid w:val="00364BF7"/>
    <w:rsid w:val="00365214"/>
    <w:rsid w:val="00365B1F"/>
    <w:rsid w:val="00365BBA"/>
    <w:rsid w:val="00365CF2"/>
    <w:rsid w:val="00366340"/>
    <w:rsid w:val="00366591"/>
    <w:rsid w:val="003706B0"/>
    <w:rsid w:val="00370767"/>
    <w:rsid w:val="003722B3"/>
    <w:rsid w:val="00372CA5"/>
    <w:rsid w:val="0037380B"/>
    <w:rsid w:val="00373E7C"/>
    <w:rsid w:val="00374398"/>
    <w:rsid w:val="00374900"/>
    <w:rsid w:val="00374B92"/>
    <w:rsid w:val="00374BF6"/>
    <w:rsid w:val="0037665A"/>
    <w:rsid w:val="00376A41"/>
    <w:rsid w:val="00376F46"/>
    <w:rsid w:val="00377A09"/>
    <w:rsid w:val="00377DF7"/>
    <w:rsid w:val="00380730"/>
    <w:rsid w:val="00382B60"/>
    <w:rsid w:val="00383F4F"/>
    <w:rsid w:val="00383F6F"/>
    <w:rsid w:val="00384084"/>
    <w:rsid w:val="00384698"/>
    <w:rsid w:val="00384EC2"/>
    <w:rsid w:val="00385A50"/>
    <w:rsid w:val="00386440"/>
    <w:rsid w:val="0038682C"/>
    <w:rsid w:val="00390205"/>
    <w:rsid w:val="00391C6E"/>
    <w:rsid w:val="00392955"/>
    <w:rsid w:val="0039374C"/>
    <w:rsid w:val="003941A4"/>
    <w:rsid w:val="0039454F"/>
    <w:rsid w:val="00394DEA"/>
    <w:rsid w:val="00396230"/>
    <w:rsid w:val="00397023"/>
    <w:rsid w:val="003A21B0"/>
    <w:rsid w:val="003A3AC6"/>
    <w:rsid w:val="003A42D6"/>
    <w:rsid w:val="003A4CAF"/>
    <w:rsid w:val="003A6203"/>
    <w:rsid w:val="003A6A99"/>
    <w:rsid w:val="003A76AD"/>
    <w:rsid w:val="003A7F7E"/>
    <w:rsid w:val="003B0C84"/>
    <w:rsid w:val="003B360A"/>
    <w:rsid w:val="003B45BC"/>
    <w:rsid w:val="003B6BE9"/>
    <w:rsid w:val="003B739B"/>
    <w:rsid w:val="003B7602"/>
    <w:rsid w:val="003B7A38"/>
    <w:rsid w:val="003C0234"/>
    <w:rsid w:val="003C1088"/>
    <w:rsid w:val="003C23C9"/>
    <w:rsid w:val="003C262F"/>
    <w:rsid w:val="003C30AC"/>
    <w:rsid w:val="003C4BC1"/>
    <w:rsid w:val="003C4CC8"/>
    <w:rsid w:val="003C5070"/>
    <w:rsid w:val="003C5558"/>
    <w:rsid w:val="003C65DA"/>
    <w:rsid w:val="003C675C"/>
    <w:rsid w:val="003C6CBB"/>
    <w:rsid w:val="003C6CFC"/>
    <w:rsid w:val="003C78C4"/>
    <w:rsid w:val="003C79CA"/>
    <w:rsid w:val="003D0014"/>
    <w:rsid w:val="003D04C5"/>
    <w:rsid w:val="003D063B"/>
    <w:rsid w:val="003D0685"/>
    <w:rsid w:val="003D071A"/>
    <w:rsid w:val="003D0BEA"/>
    <w:rsid w:val="003D1FFD"/>
    <w:rsid w:val="003D27AE"/>
    <w:rsid w:val="003D2DE7"/>
    <w:rsid w:val="003D2FF8"/>
    <w:rsid w:val="003D35F9"/>
    <w:rsid w:val="003D365D"/>
    <w:rsid w:val="003D36CB"/>
    <w:rsid w:val="003D3BE0"/>
    <w:rsid w:val="003D3D4C"/>
    <w:rsid w:val="003D41E1"/>
    <w:rsid w:val="003D4E7C"/>
    <w:rsid w:val="003E0BC0"/>
    <w:rsid w:val="003E1414"/>
    <w:rsid w:val="003E1856"/>
    <w:rsid w:val="003E2934"/>
    <w:rsid w:val="003E36F9"/>
    <w:rsid w:val="003E4188"/>
    <w:rsid w:val="003E430D"/>
    <w:rsid w:val="003E485E"/>
    <w:rsid w:val="003E4D82"/>
    <w:rsid w:val="003E5A7D"/>
    <w:rsid w:val="003E6C40"/>
    <w:rsid w:val="003E718A"/>
    <w:rsid w:val="003F046F"/>
    <w:rsid w:val="003F2391"/>
    <w:rsid w:val="003F35EC"/>
    <w:rsid w:val="003F442E"/>
    <w:rsid w:val="003F4A9B"/>
    <w:rsid w:val="003F4DA0"/>
    <w:rsid w:val="003F5A8F"/>
    <w:rsid w:val="003F5B71"/>
    <w:rsid w:val="00400A19"/>
    <w:rsid w:val="004019D0"/>
    <w:rsid w:val="00403824"/>
    <w:rsid w:val="004043B2"/>
    <w:rsid w:val="00404DEF"/>
    <w:rsid w:val="00405802"/>
    <w:rsid w:val="004061BB"/>
    <w:rsid w:val="004073ED"/>
    <w:rsid w:val="004073F7"/>
    <w:rsid w:val="00407E74"/>
    <w:rsid w:val="00410A9A"/>
    <w:rsid w:val="00411FC1"/>
    <w:rsid w:val="00412D1E"/>
    <w:rsid w:val="004138E1"/>
    <w:rsid w:val="0041396A"/>
    <w:rsid w:val="00413FAA"/>
    <w:rsid w:val="00414097"/>
    <w:rsid w:val="00414137"/>
    <w:rsid w:val="00414515"/>
    <w:rsid w:val="00414B31"/>
    <w:rsid w:val="00415857"/>
    <w:rsid w:val="00415B48"/>
    <w:rsid w:val="00416098"/>
    <w:rsid w:val="00417387"/>
    <w:rsid w:val="00420B3C"/>
    <w:rsid w:val="00421519"/>
    <w:rsid w:val="004215B8"/>
    <w:rsid w:val="00421999"/>
    <w:rsid w:val="00421E09"/>
    <w:rsid w:val="00423754"/>
    <w:rsid w:val="0042428D"/>
    <w:rsid w:val="004251A8"/>
    <w:rsid w:val="00425DE5"/>
    <w:rsid w:val="00426602"/>
    <w:rsid w:val="00426B4D"/>
    <w:rsid w:val="0042776C"/>
    <w:rsid w:val="00427C68"/>
    <w:rsid w:val="00430E9F"/>
    <w:rsid w:val="004318D4"/>
    <w:rsid w:val="004319C2"/>
    <w:rsid w:val="004327B6"/>
    <w:rsid w:val="004332F3"/>
    <w:rsid w:val="00433724"/>
    <w:rsid w:val="00433EA6"/>
    <w:rsid w:val="004353B5"/>
    <w:rsid w:val="00435763"/>
    <w:rsid w:val="00437D06"/>
    <w:rsid w:val="00440A18"/>
    <w:rsid w:val="00440DAD"/>
    <w:rsid w:val="00440EA5"/>
    <w:rsid w:val="00441052"/>
    <w:rsid w:val="004410F7"/>
    <w:rsid w:val="0044242D"/>
    <w:rsid w:val="0044261B"/>
    <w:rsid w:val="00443127"/>
    <w:rsid w:val="00443EE0"/>
    <w:rsid w:val="0044448B"/>
    <w:rsid w:val="004449F7"/>
    <w:rsid w:val="00444B32"/>
    <w:rsid w:val="00444F7D"/>
    <w:rsid w:val="00450B62"/>
    <w:rsid w:val="00453579"/>
    <w:rsid w:val="004536E0"/>
    <w:rsid w:val="00454234"/>
    <w:rsid w:val="004553C8"/>
    <w:rsid w:val="00455563"/>
    <w:rsid w:val="004557DD"/>
    <w:rsid w:val="0045626B"/>
    <w:rsid w:val="004563B0"/>
    <w:rsid w:val="0045649E"/>
    <w:rsid w:val="00456884"/>
    <w:rsid w:val="004569F7"/>
    <w:rsid w:val="0045763F"/>
    <w:rsid w:val="004577D2"/>
    <w:rsid w:val="00460119"/>
    <w:rsid w:val="00461295"/>
    <w:rsid w:val="00461302"/>
    <w:rsid w:val="00463DCB"/>
    <w:rsid w:val="00465F49"/>
    <w:rsid w:val="00467BD7"/>
    <w:rsid w:val="00467C13"/>
    <w:rsid w:val="00467FA8"/>
    <w:rsid w:val="00470F93"/>
    <w:rsid w:val="00472B28"/>
    <w:rsid w:val="004746D6"/>
    <w:rsid w:val="004749FD"/>
    <w:rsid w:val="00474DB4"/>
    <w:rsid w:val="00475DD0"/>
    <w:rsid w:val="00476FE9"/>
    <w:rsid w:val="004771BB"/>
    <w:rsid w:val="00477222"/>
    <w:rsid w:val="00480222"/>
    <w:rsid w:val="00480455"/>
    <w:rsid w:val="00480675"/>
    <w:rsid w:val="00480F24"/>
    <w:rsid w:val="00482132"/>
    <w:rsid w:val="00484164"/>
    <w:rsid w:val="00484365"/>
    <w:rsid w:val="00484E2A"/>
    <w:rsid w:val="00486045"/>
    <w:rsid w:val="004873CE"/>
    <w:rsid w:val="00487EF7"/>
    <w:rsid w:val="00487F7D"/>
    <w:rsid w:val="0049317A"/>
    <w:rsid w:val="00493E2D"/>
    <w:rsid w:val="004941FB"/>
    <w:rsid w:val="0049467F"/>
    <w:rsid w:val="004968C7"/>
    <w:rsid w:val="00496D63"/>
    <w:rsid w:val="004972F9"/>
    <w:rsid w:val="004A0683"/>
    <w:rsid w:val="004A0722"/>
    <w:rsid w:val="004A190E"/>
    <w:rsid w:val="004A1A65"/>
    <w:rsid w:val="004A2298"/>
    <w:rsid w:val="004A2A67"/>
    <w:rsid w:val="004A2E77"/>
    <w:rsid w:val="004A330A"/>
    <w:rsid w:val="004A3454"/>
    <w:rsid w:val="004A3911"/>
    <w:rsid w:val="004A3953"/>
    <w:rsid w:val="004A403E"/>
    <w:rsid w:val="004A4590"/>
    <w:rsid w:val="004A4DAC"/>
    <w:rsid w:val="004A7168"/>
    <w:rsid w:val="004A777F"/>
    <w:rsid w:val="004B1941"/>
    <w:rsid w:val="004B1F67"/>
    <w:rsid w:val="004B2368"/>
    <w:rsid w:val="004B26A0"/>
    <w:rsid w:val="004B4F31"/>
    <w:rsid w:val="004B53F8"/>
    <w:rsid w:val="004C12B9"/>
    <w:rsid w:val="004C14FF"/>
    <w:rsid w:val="004C1BC9"/>
    <w:rsid w:val="004C20A0"/>
    <w:rsid w:val="004C2509"/>
    <w:rsid w:val="004C2641"/>
    <w:rsid w:val="004C26D3"/>
    <w:rsid w:val="004C2D19"/>
    <w:rsid w:val="004C2FE0"/>
    <w:rsid w:val="004C3EB8"/>
    <w:rsid w:val="004C3EC5"/>
    <w:rsid w:val="004C40FA"/>
    <w:rsid w:val="004C5304"/>
    <w:rsid w:val="004C60FB"/>
    <w:rsid w:val="004C6632"/>
    <w:rsid w:val="004C6700"/>
    <w:rsid w:val="004C6895"/>
    <w:rsid w:val="004C7577"/>
    <w:rsid w:val="004C7E57"/>
    <w:rsid w:val="004D0776"/>
    <w:rsid w:val="004D0D9F"/>
    <w:rsid w:val="004D10E8"/>
    <w:rsid w:val="004D1997"/>
    <w:rsid w:val="004D227E"/>
    <w:rsid w:val="004D2284"/>
    <w:rsid w:val="004D27D5"/>
    <w:rsid w:val="004D316F"/>
    <w:rsid w:val="004D3236"/>
    <w:rsid w:val="004D3937"/>
    <w:rsid w:val="004D4C93"/>
    <w:rsid w:val="004D629C"/>
    <w:rsid w:val="004D63DF"/>
    <w:rsid w:val="004D65F6"/>
    <w:rsid w:val="004D664F"/>
    <w:rsid w:val="004D706B"/>
    <w:rsid w:val="004D7354"/>
    <w:rsid w:val="004E045A"/>
    <w:rsid w:val="004E07C7"/>
    <w:rsid w:val="004E0BA4"/>
    <w:rsid w:val="004E0BE6"/>
    <w:rsid w:val="004E1050"/>
    <w:rsid w:val="004E124A"/>
    <w:rsid w:val="004E146B"/>
    <w:rsid w:val="004E1CBC"/>
    <w:rsid w:val="004E1DA9"/>
    <w:rsid w:val="004E350F"/>
    <w:rsid w:val="004E3C47"/>
    <w:rsid w:val="004E4BCD"/>
    <w:rsid w:val="004E4EB5"/>
    <w:rsid w:val="004E55D3"/>
    <w:rsid w:val="004E6640"/>
    <w:rsid w:val="004E7953"/>
    <w:rsid w:val="004E7BDB"/>
    <w:rsid w:val="004F02C6"/>
    <w:rsid w:val="004F09A7"/>
    <w:rsid w:val="004F1BFB"/>
    <w:rsid w:val="004F1CAC"/>
    <w:rsid w:val="004F1E55"/>
    <w:rsid w:val="004F6104"/>
    <w:rsid w:val="004F6FF9"/>
    <w:rsid w:val="004F7ADE"/>
    <w:rsid w:val="004F7CDA"/>
    <w:rsid w:val="004F7D98"/>
    <w:rsid w:val="00500806"/>
    <w:rsid w:val="005009D2"/>
    <w:rsid w:val="00501287"/>
    <w:rsid w:val="005013F5"/>
    <w:rsid w:val="00505A22"/>
    <w:rsid w:val="00505FC6"/>
    <w:rsid w:val="005061E0"/>
    <w:rsid w:val="0050734B"/>
    <w:rsid w:val="005077E2"/>
    <w:rsid w:val="0051181F"/>
    <w:rsid w:val="00511A52"/>
    <w:rsid w:val="00511AEF"/>
    <w:rsid w:val="00512FA4"/>
    <w:rsid w:val="0051406B"/>
    <w:rsid w:val="00514D45"/>
    <w:rsid w:val="0051510D"/>
    <w:rsid w:val="005157E6"/>
    <w:rsid w:val="00516550"/>
    <w:rsid w:val="005165C4"/>
    <w:rsid w:val="00516E88"/>
    <w:rsid w:val="00517856"/>
    <w:rsid w:val="0051786A"/>
    <w:rsid w:val="00520449"/>
    <w:rsid w:val="00520A67"/>
    <w:rsid w:val="00520D50"/>
    <w:rsid w:val="00520D5D"/>
    <w:rsid w:val="00521D3E"/>
    <w:rsid w:val="00521E7A"/>
    <w:rsid w:val="0052255A"/>
    <w:rsid w:val="00523822"/>
    <w:rsid w:val="00523ACB"/>
    <w:rsid w:val="005250BE"/>
    <w:rsid w:val="005258B9"/>
    <w:rsid w:val="00530476"/>
    <w:rsid w:val="00530CCC"/>
    <w:rsid w:val="005314AC"/>
    <w:rsid w:val="0053165C"/>
    <w:rsid w:val="00531723"/>
    <w:rsid w:val="00531940"/>
    <w:rsid w:val="00531E04"/>
    <w:rsid w:val="005327EB"/>
    <w:rsid w:val="00532D99"/>
    <w:rsid w:val="00533155"/>
    <w:rsid w:val="00534B96"/>
    <w:rsid w:val="00534E72"/>
    <w:rsid w:val="00535535"/>
    <w:rsid w:val="00535690"/>
    <w:rsid w:val="00537B90"/>
    <w:rsid w:val="00540995"/>
    <w:rsid w:val="00540C38"/>
    <w:rsid w:val="00541742"/>
    <w:rsid w:val="00541EB7"/>
    <w:rsid w:val="0054288B"/>
    <w:rsid w:val="00542CD6"/>
    <w:rsid w:val="00543131"/>
    <w:rsid w:val="005436C2"/>
    <w:rsid w:val="00543A2D"/>
    <w:rsid w:val="00546574"/>
    <w:rsid w:val="005470B0"/>
    <w:rsid w:val="00547720"/>
    <w:rsid w:val="005508EA"/>
    <w:rsid w:val="00550E7D"/>
    <w:rsid w:val="005520E6"/>
    <w:rsid w:val="0055216D"/>
    <w:rsid w:val="00552803"/>
    <w:rsid w:val="005530CA"/>
    <w:rsid w:val="00553411"/>
    <w:rsid w:val="00553B68"/>
    <w:rsid w:val="0055473F"/>
    <w:rsid w:val="0055489A"/>
    <w:rsid w:val="00555419"/>
    <w:rsid w:val="00555F15"/>
    <w:rsid w:val="00556DEE"/>
    <w:rsid w:val="0055791E"/>
    <w:rsid w:val="00557D1E"/>
    <w:rsid w:val="00557F18"/>
    <w:rsid w:val="0056000D"/>
    <w:rsid w:val="005602A7"/>
    <w:rsid w:val="0056062E"/>
    <w:rsid w:val="00560DCC"/>
    <w:rsid w:val="00560F47"/>
    <w:rsid w:val="00561743"/>
    <w:rsid w:val="00562D70"/>
    <w:rsid w:val="00563152"/>
    <w:rsid w:val="0056464C"/>
    <w:rsid w:val="005651D3"/>
    <w:rsid w:val="00565A22"/>
    <w:rsid w:val="005661F2"/>
    <w:rsid w:val="00566B64"/>
    <w:rsid w:val="0056752E"/>
    <w:rsid w:val="005713D3"/>
    <w:rsid w:val="0057144F"/>
    <w:rsid w:val="0057344A"/>
    <w:rsid w:val="00574CC4"/>
    <w:rsid w:val="00574EC7"/>
    <w:rsid w:val="00575D38"/>
    <w:rsid w:val="00575DCC"/>
    <w:rsid w:val="005766EA"/>
    <w:rsid w:val="0057689E"/>
    <w:rsid w:val="00577317"/>
    <w:rsid w:val="005778BF"/>
    <w:rsid w:val="00577E0E"/>
    <w:rsid w:val="00580D21"/>
    <w:rsid w:val="005811F6"/>
    <w:rsid w:val="005812AA"/>
    <w:rsid w:val="005817E2"/>
    <w:rsid w:val="005835D0"/>
    <w:rsid w:val="00583741"/>
    <w:rsid w:val="0058386F"/>
    <w:rsid w:val="005839AE"/>
    <w:rsid w:val="00583AFD"/>
    <w:rsid w:val="00583E68"/>
    <w:rsid w:val="00584265"/>
    <w:rsid w:val="005852F0"/>
    <w:rsid w:val="00587180"/>
    <w:rsid w:val="00591F29"/>
    <w:rsid w:val="0059342F"/>
    <w:rsid w:val="00593D24"/>
    <w:rsid w:val="005949BC"/>
    <w:rsid w:val="005A095B"/>
    <w:rsid w:val="005A0ABF"/>
    <w:rsid w:val="005A1241"/>
    <w:rsid w:val="005A13A1"/>
    <w:rsid w:val="005A15FD"/>
    <w:rsid w:val="005A1B06"/>
    <w:rsid w:val="005A2564"/>
    <w:rsid w:val="005A3000"/>
    <w:rsid w:val="005A34C4"/>
    <w:rsid w:val="005A3B1E"/>
    <w:rsid w:val="005A5664"/>
    <w:rsid w:val="005A5724"/>
    <w:rsid w:val="005A725D"/>
    <w:rsid w:val="005A743F"/>
    <w:rsid w:val="005A7A98"/>
    <w:rsid w:val="005A7F10"/>
    <w:rsid w:val="005B07AB"/>
    <w:rsid w:val="005B0B10"/>
    <w:rsid w:val="005B0E0F"/>
    <w:rsid w:val="005B206D"/>
    <w:rsid w:val="005B22A1"/>
    <w:rsid w:val="005B265C"/>
    <w:rsid w:val="005B2B15"/>
    <w:rsid w:val="005B2E98"/>
    <w:rsid w:val="005B3640"/>
    <w:rsid w:val="005B52EF"/>
    <w:rsid w:val="005B5596"/>
    <w:rsid w:val="005B5C13"/>
    <w:rsid w:val="005B5E6E"/>
    <w:rsid w:val="005B6B49"/>
    <w:rsid w:val="005B6D3B"/>
    <w:rsid w:val="005B6F94"/>
    <w:rsid w:val="005B778B"/>
    <w:rsid w:val="005B7EAD"/>
    <w:rsid w:val="005B7F75"/>
    <w:rsid w:val="005C05A1"/>
    <w:rsid w:val="005C0C87"/>
    <w:rsid w:val="005C0FAA"/>
    <w:rsid w:val="005C1219"/>
    <w:rsid w:val="005C3B15"/>
    <w:rsid w:val="005C4A84"/>
    <w:rsid w:val="005C5ABF"/>
    <w:rsid w:val="005C6264"/>
    <w:rsid w:val="005C6328"/>
    <w:rsid w:val="005C64B7"/>
    <w:rsid w:val="005C6777"/>
    <w:rsid w:val="005C6F80"/>
    <w:rsid w:val="005C7266"/>
    <w:rsid w:val="005C7CF7"/>
    <w:rsid w:val="005D19B0"/>
    <w:rsid w:val="005D1DF6"/>
    <w:rsid w:val="005D1ED0"/>
    <w:rsid w:val="005D28F7"/>
    <w:rsid w:val="005D2F3D"/>
    <w:rsid w:val="005D3168"/>
    <w:rsid w:val="005D3995"/>
    <w:rsid w:val="005D3A63"/>
    <w:rsid w:val="005D3E87"/>
    <w:rsid w:val="005D7287"/>
    <w:rsid w:val="005D735F"/>
    <w:rsid w:val="005D7DE1"/>
    <w:rsid w:val="005E007C"/>
    <w:rsid w:val="005E0287"/>
    <w:rsid w:val="005E0771"/>
    <w:rsid w:val="005E12D0"/>
    <w:rsid w:val="005E2E06"/>
    <w:rsid w:val="005E4933"/>
    <w:rsid w:val="005E68AA"/>
    <w:rsid w:val="005E715C"/>
    <w:rsid w:val="005E72D1"/>
    <w:rsid w:val="005E78F6"/>
    <w:rsid w:val="005F1D8B"/>
    <w:rsid w:val="005F27E8"/>
    <w:rsid w:val="005F2BA0"/>
    <w:rsid w:val="005F3468"/>
    <w:rsid w:val="005F3677"/>
    <w:rsid w:val="005F387F"/>
    <w:rsid w:val="005F4230"/>
    <w:rsid w:val="005F4AA0"/>
    <w:rsid w:val="005F4F6A"/>
    <w:rsid w:val="005F5317"/>
    <w:rsid w:val="005F534F"/>
    <w:rsid w:val="005F5494"/>
    <w:rsid w:val="005F55AF"/>
    <w:rsid w:val="005F6B51"/>
    <w:rsid w:val="00600B12"/>
    <w:rsid w:val="00600D83"/>
    <w:rsid w:val="0060218F"/>
    <w:rsid w:val="0060221F"/>
    <w:rsid w:val="006039F5"/>
    <w:rsid w:val="00604A99"/>
    <w:rsid w:val="00604F1A"/>
    <w:rsid w:val="0060582C"/>
    <w:rsid w:val="00605A46"/>
    <w:rsid w:val="00605B52"/>
    <w:rsid w:val="00605D1D"/>
    <w:rsid w:val="00605D3A"/>
    <w:rsid w:val="00605E64"/>
    <w:rsid w:val="0060632D"/>
    <w:rsid w:val="0060689E"/>
    <w:rsid w:val="00606B04"/>
    <w:rsid w:val="0060747B"/>
    <w:rsid w:val="0061065A"/>
    <w:rsid w:val="00610765"/>
    <w:rsid w:val="00612698"/>
    <w:rsid w:val="00612D24"/>
    <w:rsid w:val="00613154"/>
    <w:rsid w:val="00614112"/>
    <w:rsid w:val="00614931"/>
    <w:rsid w:val="00614BDF"/>
    <w:rsid w:val="00614FEE"/>
    <w:rsid w:val="0061584A"/>
    <w:rsid w:val="00615D11"/>
    <w:rsid w:val="006169CA"/>
    <w:rsid w:val="0061729E"/>
    <w:rsid w:val="00617376"/>
    <w:rsid w:val="006177B1"/>
    <w:rsid w:val="006178A2"/>
    <w:rsid w:val="006209CD"/>
    <w:rsid w:val="00620E54"/>
    <w:rsid w:val="00621595"/>
    <w:rsid w:val="00621E3E"/>
    <w:rsid w:val="00622BF5"/>
    <w:rsid w:val="0062315B"/>
    <w:rsid w:val="006233BC"/>
    <w:rsid w:val="006236D9"/>
    <w:rsid w:val="00624938"/>
    <w:rsid w:val="00624A65"/>
    <w:rsid w:val="00624FDE"/>
    <w:rsid w:val="0062597E"/>
    <w:rsid w:val="00626A01"/>
    <w:rsid w:val="006275AB"/>
    <w:rsid w:val="0062768B"/>
    <w:rsid w:val="00627B10"/>
    <w:rsid w:val="006305FC"/>
    <w:rsid w:val="0063082C"/>
    <w:rsid w:val="00630F1F"/>
    <w:rsid w:val="00632C52"/>
    <w:rsid w:val="00634641"/>
    <w:rsid w:val="00635BD0"/>
    <w:rsid w:val="00636614"/>
    <w:rsid w:val="006367F4"/>
    <w:rsid w:val="00636F57"/>
    <w:rsid w:val="0063779E"/>
    <w:rsid w:val="00637D1B"/>
    <w:rsid w:val="00641356"/>
    <w:rsid w:val="006427B8"/>
    <w:rsid w:val="006432B4"/>
    <w:rsid w:val="006443DA"/>
    <w:rsid w:val="00644B73"/>
    <w:rsid w:val="006450A4"/>
    <w:rsid w:val="00645180"/>
    <w:rsid w:val="00645288"/>
    <w:rsid w:val="00646912"/>
    <w:rsid w:val="00647824"/>
    <w:rsid w:val="006502C3"/>
    <w:rsid w:val="0065145C"/>
    <w:rsid w:val="0065215B"/>
    <w:rsid w:val="00652B07"/>
    <w:rsid w:val="006537DB"/>
    <w:rsid w:val="0065499A"/>
    <w:rsid w:val="00654E60"/>
    <w:rsid w:val="00655C85"/>
    <w:rsid w:val="0065617D"/>
    <w:rsid w:val="00656BC0"/>
    <w:rsid w:val="00656C04"/>
    <w:rsid w:val="006602B2"/>
    <w:rsid w:val="006607F7"/>
    <w:rsid w:val="00660AD8"/>
    <w:rsid w:val="00660B9D"/>
    <w:rsid w:val="00660FD4"/>
    <w:rsid w:val="006643B3"/>
    <w:rsid w:val="00664E4F"/>
    <w:rsid w:val="006651AD"/>
    <w:rsid w:val="006651E7"/>
    <w:rsid w:val="00666C85"/>
    <w:rsid w:val="0066778D"/>
    <w:rsid w:val="006679C1"/>
    <w:rsid w:val="00670145"/>
    <w:rsid w:val="00670A76"/>
    <w:rsid w:val="00670AE7"/>
    <w:rsid w:val="00670FE7"/>
    <w:rsid w:val="00674265"/>
    <w:rsid w:val="0067532C"/>
    <w:rsid w:val="006753ED"/>
    <w:rsid w:val="00675879"/>
    <w:rsid w:val="00675B05"/>
    <w:rsid w:val="0067622A"/>
    <w:rsid w:val="00676B75"/>
    <w:rsid w:val="00677599"/>
    <w:rsid w:val="00677B2C"/>
    <w:rsid w:val="00681C96"/>
    <w:rsid w:val="006821A7"/>
    <w:rsid w:val="006829DC"/>
    <w:rsid w:val="0068305E"/>
    <w:rsid w:val="0068315F"/>
    <w:rsid w:val="006831A9"/>
    <w:rsid w:val="006834DC"/>
    <w:rsid w:val="006837E8"/>
    <w:rsid w:val="00684207"/>
    <w:rsid w:val="00684423"/>
    <w:rsid w:val="00684C15"/>
    <w:rsid w:val="00686B6A"/>
    <w:rsid w:val="00686F12"/>
    <w:rsid w:val="00687052"/>
    <w:rsid w:val="00690746"/>
    <w:rsid w:val="0069107D"/>
    <w:rsid w:val="00692488"/>
    <w:rsid w:val="006936CA"/>
    <w:rsid w:val="00693A6A"/>
    <w:rsid w:val="0069491D"/>
    <w:rsid w:val="006955AE"/>
    <w:rsid w:val="00696A1B"/>
    <w:rsid w:val="00696DA4"/>
    <w:rsid w:val="00697C91"/>
    <w:rsid w:val="006A00FD"/>
    <w:rsid w:val="006A1C45"/>
    <w:rsid w:val="006A406F"/>
    <w:rsid w:val="006A5398"/>
    <w:rsid w:val="006A554F"/>
    <w:rsid w:val="006A791B"/>
    <w:rsid w:val="006A7927"/>
    <w:rsid w:val="006A7B0D"/>
    <w:rsid w:val="006A7E52"/>
    <w:rsid w:val="006B067E"/>
    <w:rsid w:val="006B2224"/>
    <w:rsid w:val="006B2ECC"/>
    <w:rsid w:val="006B3188"/>
    <w:rsid w:val="006B3C1D"/>
    <w:rsid w:val="006B4B4D"/>
    <w:rsid w:val="006B53FE"/>
    <w:rsid w:val="006B644C"/>
    <w:rsid w:val="006B6BF7"/>
    <w:rsid w:val="006B7E93"/>
    <w:rsid w:val="006B7F07"/>
    <w:rsid w:val="006C064E"/>
    <w:rsid w:val="006C0719"/>
    <w:rsid w:val="006C0996"/>
    <w:rsid w:val="006C0BBF"/>
    <w:rsid w:val="006C1073"/>
    <w:rsid w:val="006C2445"/>
    <w:rsid w:val="006C30AA"/>
    <w:rsid w:val="006C367E"/>
    <w:rsid w:val="006C5484"/>
    <w:rsid w:val="006C5A0D"/>
    <w:rsid w:val="006C662B"/>
    <w:rsid w:val="006C7761"/>
    <w:rsid w:val="006C7836"/>
    <w:rsid w:val="006C7E7C"/>
    <w:rsid w:val="006D0215"/>
    <w:rsid w:val="006D0370"/>
    <w:rsid w:val="006D0B0C"/>
    <w:rsid w:val="006D21D7"/>
    <w:rsid w:val="006D3A77"/>
    <w:rsid w:val="006D3B25"/>
    <w:rsid w:val="006D3DA6"/>
    <w:rsid w:val="006D4D04"/>
    <w:rsid w:val="006D62C4"/>
    <w:rsid w:val="006D68FB"/>
    <w:rsid w:val="006D6B26"/>
    <w:rsid w:val="006E08EC"/>
    <w:rsid w:val="006E34D1"/>
    <w:rsid w:val="006E367D"/>
    <w:rsid w:val="006E64FA"/>
    <w:rsid w:val="006E79D3"/>
    <w:rsid w:val="006F0561"/>
    <w:rsid w:val="006F1688"/>
    <w:rsid w:val="006F2071"/>
    <w:rsid w:val="006F24DA"/>
    <w:rsid w:val="006F621C"/>
    <w:rsid w:val="006F6D54"/>
    <w:rsid w:val="00700751"/>
    <w:rsid w:val="00702F46"/>
    <w:rsid w:val="0070359D"/>
    <w:rsid w:val="00703876"/>
    <w:rsid w:val="00703C83"/>
    <w:rsid w:val="0070443A"/>
    <w:rsid w:val="00704470"/>
    <w:rsid w:val="0070662B"/>
    <w:rsid w:val="007068DF"/>
    <w:rsid w:val="0070770E"/>
    <w:rsid w:val="0071083D"/>
    <w:rsid w:val="00711475"/>
    <w:rsid w:val="007129E8"/>
    <w:rsid w:val="00712BEE"/>
    <w:rsid w:val="00713DDC"/>
    <w:rsid w:val="007151CF"/>
    <w:rsid w:val="007157D6"/>
    <w:rsid w:val="00715CAA"/>
    <w:rsid w:val="0071667F"/>
    <w:rsid w:val="00716A19"/>
    <w:rsid w:val="00716EF7"/>
    <w:rsid w:val="00717B33"/>
    <w:rsid w:val="0072025D"/>
    <w:rsid w:val="00721C6B"/>
    <w:rsid w:val="00721CA5"/>
    <w:rsid w:val="00722253"/>
    <w:rsid w:val="00722A90"/>
    <w:rsid w:val="00727B15"/>
    <w:rsid w:val="007314F0"/>
    <w:rsid w:val="00731CA9"/>
    <w:rsid w:val="00731FAA"/>
    <w:rsid w:val="00732632"/>
    <w:rsid w:val="007339CE"/>
    <w:rsid w:val="00735204"/>
    <w:rsid w:val="00736BCF"/>
    <w:rsid w:val="007370D6"/>
    <w:rsid w:val="007402D7"/>
    <w:rsid w:val="00741970"/>
    <w:rsid w:val="00742A4F"/>
    <w:rsid w:val="00742C1B"/>
    <w:rsid w:val="00742E10"/>
    <w:rsid w:val="00742ED8"/>
    <w:rsid w:val="00743B10"/>
    <w:rsid w:val="0074499A"/>
    <w:rsid w:val="007459DB"/>
    <w:rsid w:val="00745C3F"/>
    <w:rsid w:val="007469E5"/>
    <w:rsid w:val="00746CAA"/>
    <w:rsid w:val="00747186"/>
    <w:rsid w:val="0074725D"/>
    <w:rsid w:val="00747803"/>
    <w:rsid w:val="00747BEF"/>
    <w:rsid w:val="00750215"/>
    <w:rsid w:val="00750B6E"/>
    <w:rsid w:val="00750C1D"/>
    <w:rsid w:val="00751406"/>
    <w:rsid w:val="00751A8A"/>
    <w:rsid w:val="0075241B"/>
    <w:rsid w:val="0075321F"/>
    <w:rsid w:val="00754356"/>
    <w:rsid w:val="007552A7"/>
    <w:rsid w:val="0075595A"/>
    <w:rsid w:val="00756121"/>
    <w:rsid w:val="0075778D"/>
    <w:rsid w:val="007613F9"/>
    <w:rsid w:val="00761B4D"/>
    <w:rsid w:val="00761C5E"/>
    <w:rsid w:val="00761F9E"/>
    <w:rsid w:val="00763154"/>
    <w:rsid w:val="00763357"/>
    <w:rsid w:val="007639EB"/>
    <w:rsid w:val="00763F4F"/>
    <w:rsid w:val="007640ED"/>
    <w:rsid w:val="007641FF"/>
    <w:rsid w:val="007645AD"/>
    <w:rsid w:val="00764BD3"/>
    <w:rsid w:val="0076533C"/>
    <w:rsid w:val="007654A2"/>
    <w:rsid w:val="007656A6"/>
    <w:rsid w:val="00765A39"/>
    <w:rsid w:val="00767136"/>
    <w:rsid w:val="00770A8C"/>
    <w:rsid w:val="0077130D"/>
    <w:rsid w:val="0077185C"/>
    <w:rsid w:val="007723A1"/>
    <w:rsid w:val="007725CA"/>
    <w:rsid w:val="00772AF9"/>
    <w:rsid w:val="007731CF"/>
    <w:rsid w:val="00773BB4"/>
    <w:rsid w:val="00773FF3"/>
    <w:rsid w:val="007740C2"/>
    <w:rsid w:val="00774912"/>
    <w:rsid w:val="00776EDD"/>
    <w:rsid w:val="007772B0"/>
    <w:rsid w:val="0078063E"/>
    <w:rsid w:val="00780711"/>
    <w:rsid w:val="007812C5"/>
    <w:rsid w:val="007822B8"/>
    <w:rsid w:val="00782E76"/>
    <w:rsid w:val="00784245"/>
    <w:rsid w:val="00785E81"/>
    <w:rsid w:val="00786108"/>
    <w:rsid w:val="0078642D"/>
    <w:rsid w:val="007905BB"/>
    <w:rsid w:val="00792D09"/>
    <w:rsid w:val="007933BB"/>
    <w:rsid w:val="007933F8"/>
    <w:rsid w:val="00793AD8"/>
    <w:rsid w:val="0079449C"/>
    <w:rsid w:val="007949DE"/>
    <w:rsid w:val="00794AF3"/>
    <w:rsid w:val="00795C36"/>
    <w:rsid w:val="007960E2"/>
    <w:rsid w:val="00796F7D"/>
    <w:rsid w:val="00797BA5"/>
    <w:rsid w:val="007A04E3"/>
    <w:rsid w:val="007A136F"/>
    <w:rsid w:val="007A1A67"/>
    <w:rsid w:val="007A3259"/>
    <w:rsid w:val="007A36E4"/>
    <w:rsid w:val="007A6069"/>
    <w:rsid w:val="007A6906"/>
    <w:rsid w:val="007A7258"/>
    <w:rsid w:val="007A7306"/>
    <w:rsid w:val="007B0488"/>
    <w:rsid w:val="007B05B9"/>
    <w:rsid w:val="007B0E42"/>
    <w:rsid w:val="007B0FE2"/>
    <w:rsid w:val="007B36F7"/>
    <w:rsid w:val="007B458E"/>
    <w:rsid w:val="007B522F"/>
    <w:rsid w:val="007B5601"/>
    <w:rsid w:val="007B64A7"/>
    <w:rsid w:val="007B7101"/>
    <w:rsid w:val="007C019C"/>
    <w:rsid w:val="007C032B"/>
    <w:rsid w:val="007C03CE"/>
    <w:rsid w:val="007C03D3"/>
    <w:rsid w:val="007C1AC7"/>
    <w:rsid w:val="007C28F4"/>
    <w:rsid w:val="007C3DF5"/>
    <w:rsid w:val="007C48E0"/>
    <w:rsid w:val="007C5EAD"/>
    <w:rsid w:val="007C6367"/>
    <w:rsid w:val="007D0365"/>
    <w:rsid w:val="007D08D0"/>
    <w:rsid w:val="007D0D32"/>
    <w:rsid w:val="007D1462"/>
    <w:rsid w:val="007D18BE"/>
    <w:rsid w:val="007D3A85"/>
    <w:rsid w:val="007D3F96"/>
    <w:rsid w:val="007D4138"/>
    <w:rsid w:val="007D4B1D"/>
    <w:rsid w:val="007D51B3"/>
    <w:rsid w:val="007D5381"/>
    <w:rsid w:val="007D583D"/>
    <w:rsid w:val="007D5F7C"/>
    <w:rsid w:val="007D61F1"/>
    <w:rsid w:val="007D62E0"/>
    <w:rsid w:val="007D6BED"/>
    <w:rsid w:val="007D77A8"/>
    <w:rsid w:val="007D7C3C"/>
    <w:rsid w:val="007E09B1"/>
    <w:rsid w:val="007E0A27"/>
    <w:rsid w:val="007E152B"/>
    <w:rsid w:val="007E1559"/>
    <w:rsid w:val="007E1682"/>
    <w:rsid w:val="007E378A"/>
    <w:rsid w:val="007E3EDE"/>
    <w:rsid w:val="007E41E6"/>
    <w:rsid w:val="007E6667"/>
    <w:rsid w:val="007E6864"/>
    <w:rsid w:val="007E798A"/>
    <w:rsid w:val="007E7BD4"/>
    <w:rsid w:val="007E7D6A"/>
    <w:rsid w:val="007F05C3"/>
    <w:rsid w:val="007F0E00"/>
    <w:rsid w:val="007F1070"/>
    <w:rsid w:val="007F1993"/>
    <w:rsid w:val="007F2912"/>
    <w:rsid w:val="007F2975"/>
    <w:rsid w:val="007F33F5"/>
    <w:rsid w:val="007F3A05"/>
    <w:rsid w:val="007F40C9"/>
    <w:rsid w:val="007F5313"/>
    <w:rsid w:val="007F7059"/>
    <w:rsid w:val="007F7061"/>
    <w:rsid w:val="007F72EC"/>
    <w:rsid w:val="0080043F"/>
    <w:rsid w:val="0080183A"/>
    <w:rsid w:val="00801DD9"/>
    <w:rsid w:val="00802233"/>
    <w:rsid w:val="00804760"/>
    <w:rsid w:val="00804C65"/>
    <w:rsid w:val="00805B0D"/>
    <w:rsid w:val="00805C89"/>
    <w:rsid w:val="00806551"/>
    <w:rsid w:val="0080706F"/>
    <w:rsid w:val="008071B4"/>
    <w:rsid w:val="008101E7"/>
    <w:rsid w:val="008106DE"/>
    <w:rsid w:val="00810A4C"/>
    <w:rsid w:val="008117BB"/>
    <w:rsid w:val="0081206A"/>
    <w:rsid w:val="00813682"/>
    <w:rsid w:val="008144C4"/>
    <w:rsid w:val="00814A91"/>
    <w:rsid w:val="0081516C"/>
    <w:rsid w:val="0081521B"/>
    <w:rsid w:val="0081653C"/>
    <w:rsid w:val="00816895"/>
    <w:rsid w:val="00816EE1"/>
    <w:rsid w:val="008170AC"/>
    <w:rsid w:val="00817733"/>
    <w:rsid w:val="0082042D"/>
    <w:rsid w:val="008204BD"/>
    <w:rsid w:val="0082104D"/>
    <w:rsid w:val="00821EEC"/>
    <w:rsid w:val="00821FE2"/>
    <w:rsid w:val="008223C4"/>
    <w:rsid w:val="008223DA"/>
    <w:rsid w:val="008225AA"/>
    <w:rsid w:val="00822ECB"/>
    <w:rsid w:val="00823F31"/>
    <w:rsid w:val="008261C8"/>
    <w:rsid w:val="0082621A"/>
    <w:rsid w:val="008272DC"/>
    <w:rsid w:val="00827958"/>
    <w:rsid w:val="00830152"/>
    <w:rsid w:val="00830D03"/>
    <w:rsid w:val="00831E4C"/>
    <w:rsid w:val="00832E57"/>
    <w:rsid w:val="00834007"/>
    <w:rsid w:val="00835394"/>
    <w:rsid w:val="008360E3"/>
    <w:rsid w:val="008369EB"/>
    <w:rsid w:val="008370EC"/>
    <w:rsid w:val="00837458"/>
    <w:rsid w:val="00837BC3"/>
    <w:rsid w:val="00837F78"/>
    <w:rsid w:val="008403C2"/>
    <w:rsid w:val="00840D7A"/>
    <w:rsid w:val="00841477"/>
    <w:rsid w:val="008415A9"/>
    <w:rsid w:val="0084249A"/>
    <w:rsid w:val="00845515"/>
    <w:rsid w:val="00846569"/>
    <w:rsid w:val="00850423"/>
    <w:rsid w:val="00850929"/>
    <w:rsid w:val="00851A91"/>
    <w:rsid w:val="00851FAE"/>
    <w:rsid w:val="00852320"/>
    <w:rsid w:val="008526D5"/>
    <w:rsid w:val="00852B38"/>
    <w:rsid w:val="00852E76"/>
    <w:rsid w:val="00854394"/>
    <w:rsid w:val="008549BC"/>
    <w:rsid w:val="00854D8C"/>
    <w:rsid w:val="00854F41"/>
    <w:rsid w:val="00854F47"/>
    <w:rsid w:val="008560B0"/>
    <w:rsid w:val="00856243"/>
    <w:rsid w:val="0085626C"/>
    <w:rsid w:val="008570DD"/>
    <w:rsid w:val="008579BA"/>
    <w:rsid w:val="00861CD0"/>
    <w:rsid w:val="008632E6"/>
    <w:rsid w:val="008644AE"/>
    <w:rsid w:val="00864652"/>
    <w:rsid w:val="00865204"/>
    <w:rsid w:val="00865A60"/>
    <w:rsid w:val="008672D7"/>
    <w:rsid w:val="00870B91"/>
    <w:rsid w:val="00871568"/>
    <w:rsid w:val="008720F9"/>
    <w:rsid w:val="00872740"/>
    <w:rsid w:val="00873E8D"/>
    <w:rsid w:val="008740AB"/>
    <w:rsid w:val="00875725"/>
    <w:rsid w:val="00875BA7"/>
    <w:rsid w:val="0087600F"/>
    <w:rsid w:val="0087609C"/>
    <w:rsid w:val="008762DB"/>
    <w:rsid w:val="00876999"/>
    <w:rsid w:val="00876E38"/>
    <w:rsid w:val="00877296"/>
    <w:rsid w:val="008778A1"/>
    <w:rsid w:val="00877B31"/>
    <w:rsid w:val="00877CB4"/>
    <w:rsid w:val="008821C0"/>
    <w:rsid w:val="00882A6A"/>
    <w:rsid w:val="008834C2"/>
    <w:rsid w:val="0088428D"/>
    <w:rsid w:val="00884686"/>
    <w:rsid w:val="0088530C"/>
    <w:rsid w:val="00885DF9"/>
    <w:rsid w:val="00886DE6"/>
    <w:rsid w:val="008903AA"/>
    <w:rsid w:val="008904E5"/>
    <w:rsid w:val="008914EA"/>
    <w:rsid w:val="00891C8D"/>
    <w:rsid w:val="00891D9B"/>
    <w:rsid w:val="00891F31"/>
    <w:rsid w:val="0089298A"/>
    <w:rsid w:val="00893572"/>
    <w:rsid w:val="008943AD"/>
    <w:rsid w:val="008946F3"/>
    <w:rsid w:val="00894868"/>
    <w:rsid w:val="008948AA"/>
    <w:rsid w:val="00895896"/>
    <w:rsid w:val="008965E6"/>
    <w:rsid w:val="00896C9A"/>
    <w:rsid w:val="00897298"/>
    <w:rsid w:val="008A0CB5"/>
    <w:rsid w:val="008A0DD6"/>
    <w:rsid w:val="008A0EFD"/>
    <w:rsid w:val="008A1120"/>
    <w:rsid w:val="008A1964"/>
    <w:rsid w:val="008A1C45"/>
    <w:rsid w:val="008A1F27"/>
    <w:rsid w:val="008A2873"/>
    <w:rsid w:val="008A2BEB"/>
    <w:rsid w:val="008A32DE"/>
    <w:rsid w:val="008A3E42"/>
    <w:rsid w:val="008A4E09"/>
    <w:rsid w:val="008A4F55"/>
    <w:rsid w:val="008A5189"/>
    <w:rsid w:val="008A578A"/>
    <w:rsid w:val="008A6064"/>
    <w:rsid w:val="008A696C"/>
    <w:rsid w:val="008A6AC6"/>
    <w:rsid w:val="008A6E80"/>
    <w:rsid w:val="008A7438"/>
    <w:rsid w:val="008A781F"/>
    <w:rsid w:val="008B0603"/>
    <w:rsid w:val="008B12BA"/>
    <w:rsid w:val="008B181A"/>
    <w:rsid w:val="008B18AD"/>
    <w:rsid w:val="008B1C7B"/>
    <w:rsid w:val="008B2D3B"/>
    <w:rsid w:val="008B398D"/>
    <w:rsid w:val="008B3A6B"/>
    <w:rsid w:val="008B486E"/>
    <w:rsid w:val="008B5431"/>
    <w:rsid w:val="008B54A6"/>
    <w:rsid w:val="008B552C"/>
    <w:rsid w:val="008B5965"/>
    <w:rsid w:val="008B5BAF"/>
    <w:rsid w:val="008B6097"/>
    <w:rsid w:val="008B68A0"/>
    <w:rsid w:val="008B7A7C"/>
    <w:rsid w:val="008B7E4C"/>
    <w:rsid w:val="008C00AC"/>
    <w:rsid w:val="008C0FD9"/>
    <w:rsid w:val="008C1C4A"/>
    <w:rsid w:val="008C1DC9"/>
    <w:rsid w:val="008C34A0"/>
    <w:rsid w:val="008C38DD"/>
    <w:rsid w:val="008C49C6"/>
    <w:rsid w:val="008C4C93"/>
    <w:rsid w:val="008C5596"/>
    <w:rsid w:val="008C5709"/>
    <w:rsid w:val="008C5F95"/>
    <w:rsid w:val="008C719C"/>
    <w:rsid w:val="008D0863"/>
    <w:rsid w:val="008D0896"/>
    <w:rsid w:val="008D227F"/>
    <w:rsid w:val="008D3862"/>
    <w:rsid w:val="008D487F"/>
    <w:rsid w:val="008D4952"/>
    <w:rsid w:val="008D4F83"/>
    <w:rsid w:val="008E0538"/>
    <w:rsid w:val="008E1386"/>
    <w:rsid w:val="008E30F6"/>
    <w:rsid w:val="008E3B93"/>
    <w:rsid w:val="008E5D4C"/>
    <w:rsid w:val="008E778D"/>
    <w:rsid w:val="008E79C9"/>
    <w:rsid w:val="008F07ED"/>
    <w:rsid w:val="008F0971"/>
    <w:rsid w:val="008F1160"/>
    <w:rsid w:val="008F13C6"/>
    <w:rsid w:val="008F19E3"/>
    <w:rsid w:val="008F1A9C"/>
    <w:rsid w:val="008F2150"/>
    <w:rsid w:val="008F255B"/>
    <w:rsid w:val="008F3591"/>
    <w:rsid w:val="008F428B"/>
    <w:rsid w:val="008F49B7"/>
    <w:rsid w:val="008F4FCF"/>
    <w:rsid w:val="008F52A8"/>
    <w:rsid w:val="008F5397"/>
    <w:rsid w:val="008F630B"/>
    <w:rsid w:val="008F69C8"/>
    <w:rsid w:val="008F6DD2"/>
    <w:rsid w:val="008F7470"/>
    <w:rsid w:val="008F77E6"/>
    <w:rsid w:val="008F7F8E"/>
    <w:rsid w:val="00900B27"/>
    <w:rsid w:val="00901019"/>
    <w:rsid w:val="009012D7"/>
    <w:rsid w:val="00902091"/>
    <w:rsid w:val="00902294"/>
    <w:rsid w:val="009023B5"/>
    <w:rsid w:val="00902408"/>
    <w:rsid w:val="00902A6F"/>
    <w:rsid w:val="009031CF"/>
    <w:rsid w:val="009037EA"/>
    <w:rsid w:val="00903E1F"/>
    <w:rsid w:val="00904440"/>
    <w:rsid w:val="009048CF"/>
    <w:rsid w:val="00904A1E"/>
    <w:rsid w:val="00904DA2"/>
    <w:rsid w:val="0090587B"/>
    <w:rsid w:val="009068D9"/>
    <w:rsid w:val="00910BA7"/>
    <w:rsid w:val="00911076"/>
    <w:rsid w:val="0091305E"/>
    <w:rsid w:val="009133DD"/>
    <w:rsid w:val="00914CE2"/>
    <w:rsid w:val="00914E4F"/>
    <w:rsid w:val="00915B6E"/>
    <w:rsid w:val="009171BE"/>
    <w:rsid w:val="0092019C"/>
    <w:rsid w:val="009202E3"/>
    <w:rsid w:val="0092030A"/>
    <w:rsid w:val="00920641"/>
    <w:rsid w:val="0092092B"/>
    <w:rsid w:val="00920FF1"/>
    <w:rsid w:val="009215F4"/>
    <w:rsid w:val="00921752"/>
    <w:rsid w:val="00921A7A"/>
    <w:rsid w:val="00921C5F"/>
    <w:rsid w:val="00923F0B"/>
    <w:rsid w:val="009242AD"/>
    <w:rsid w:val="009246B0"/>
    <w:rsid w:val="009259B1"/>
    <w:rsid w:val="0092697E"/>
    <w:rsid w:val="009271C4"/>
    <w:rsid w:val="0092779C"/>
    <w:rsid w:val="009277C0"/>
    <w:rsid w:val="00927E55"/>
    <w:rsid w:val="00930261"/>
    <w:rsid w:val="009305EE"/>
    <w:rsid w:val="00931423"/>
    <w:rsid w:val="0093144C"/>
    <w:rsid w:val="00931672"/>
    <w:rsid w:val="00932C46"/>
    <w:rsid w:val="0093331C"/>
    <w:rsid w:val="00933F59"/>
    <w:rsid w:val="00933F64"/>
    <w:rsid w:val="00933FFF"/>
    <w:rsid w:val="009348E0"/>
    <w:rsid w:val="00935242"/>
    <w:rsid w:val="009355AA"/>
    <w:rsid w:val="009359FB"/>
    <w:rsid w:val="00937E69"/>
    <w:rsid w:val="009405D2"/>
    <w:rsid w:val="0094159F"/>
    <w:rsid w:val="009417E1"/>
    <w:rsid w:val="00941CE5"/>
    <w:rsid w:val="00941DAE"/>
    <w:rsid w:val="0094443D"/>
    <w:rsid w:val="0094538D"/>
    <w:rsid w:val="00945BED"/>
    <w:rsid w:val="009460E0"/>
    <w:rsid w:val="00946A8E"/>
    <w:rsid w:val="009478F1"/>
    <w:rsid w:val="00947A95"/>
    <w:rsid w:val="00950F67"/>
    <w:rsid w:val="00951964"/>
    <w:rsid w:val="00951C29"/>
    <w:rsid w:val="009537A9"/>
    <w:rsid w:val="00954104"/>
    <w:rsid w:val="00954240"/>
    <w:rsid w:val="00960978"/>
    <w:rsid w:val="00961196"/>
    <w:rsid w:val="00961BF5"/>
    <w:rsid w:val="00961CC5"/>
    <w:rsid w:val="00961D95"/>
    <w:rsid w:val="009633FC"/>
    <w:rsid w:val="009636D2"/>
    <w:rsid w:val="00963A0F"/>
    <w:rsid w:val="00963C1A"/>
    <w:rsid w:val="009654E4"/>
    <w:rsid w:val="00966BB9"/>
    <w:rsid w:val="00967030"/>
    <w:rsid w:val="00970808"/>
    <w:rsid w:val="00970927"/>
    <w:rsid w:val="0097115E"/>
    <w:rsid w:val="00971329"/>
    <w:rsid w:val="0097205E"/>
    <w:rsid w:val="00972362"/>
    <w:rsid w:val="009727F1"/>
    <w:rsid w:val="00972B03"/>
    <w:rsid w:val="009740D0"/>
    <w:rsid w:val="00974148"/>
    <w:rsid w:val="00974C61"/>
    <w:rsid w:val="00975276"/>
    <w:rsid w:val="0097629B"/>
    <w:rsid w:val="00976EE9"/>
    <w:rsid w:val="009771F8"/>
    <w:rsid w:val="00977371"/>
    <w:rsid w:val="009774A8"/>
    <w:rsid w:val="0098068D"/>
    <w:rsid w:val="0098102F"/>
    <w:rsid w:val="00982A0C"/>
    <w:rsid w:val="00983A1D"/>
    <w:rsid w:val="00983EEB"/>
    <w:rsid w:val="00986F5D"/>
    <w:rsid w:val="00987C82"/>
    <w:rsid w:val="009904F8"/>
    <w:rsid w:val="009920A0"/>
    <w:rsid w:val="009927BB"/>
    <w:rsid w:val="009929D3"/>
    <w:rsid w:val="00994E1D"/>
    <w:rsid w:val="00995AD1"/>
    <w:rsid w:val="009965CF"/>
    <w:rsid w:val="00996848"/>
    <w:rsid w:val="0099718F"/>
    <w:rsid w:val="0099738C"/>
    <w:rsid w:val="00997D73"/>
    <w:rsid w:val="009A1807"/>
    <w:rsid w:val="009A1A7B"/>
    <w:rsid w:val="009A1FD3"/>
    <w:rsid w:val="009A24B2"/>
    <w:rsid w:val="009A32A4"/>
    <w:rsid w:val="009A38D7"/>
    <w:rsid w:val="009A56BC"/>
    <w:rsid w:val="009A5A36"/>
    <w:rsid w:val="009A5B39"/>
    <w:rsid w:val="009A6F07"/>
    <w:rsid w:val="009A77DE"/>
    <w:rsid w:val="009B057C"/>
    <w:rsid w:val="009B17AD"/>
    <w:rsid w:val="009B1877"/>
    <w:rsid w:val="009B1EBC"/>
    <w:rsid w:val="009B3FE6"/>
    <w:rsid w:val="009B5153"/>
    <w:rsid w:val="009B5ABF"/>
    <w:rsid w:val="009B6321"/>
    <w:rsid w:val="009B7830"/>
    <w:rsid w:val="009C07BD"/>
    <w:rsid w:val="009C08A8"/>
    <w:rsid w:val="009C0C8D"/>
    <w:rsid w:val="009C1130"/>
    <w:rsid w:val="009C1512"/>
    <w:rsid w:val="009C222C"/>
    <w:rsid w:val="009C23E2"/>
    <w:rsid w:val="009C248C"/>
    <w:rsid w:val="009C24CB"/>
    <w:rsid w:val="009C3073"/>
    <w:rsid w:val="009C31B0"/>
    <w:rsid w:val="009C3CE7"/>
    <w:rsid w:val="009C40B5"/>
    <w:rsid w:val="009C53A2"/>
    <w:rsid w:val="009C6ADF"/>
    <w:rsid w:val="009C72C0"/>
    <w:rsid w:val="009C75C1"/>
    <w:rsid w:val="009C75E1"/>
    <w:rsid w:val="009C79E0"/>
    <w:rsid w:val="009C7CA3"/>
    <w:rsid w:val="009C7EFB"/>
    <w:rsid w:val="009D0510"/>
    <w:rsid w:val="009D06AF"/>
    <w:rsid w:val="009D09F5"/>
    <w:rsid w:val="009D0E99"/>
    <w:rsid w:val="009D1511"/>
    <w:rsid w:val="009D1AB4"/>
    <w:rsid w:val="009D37CF"/>
    <w:rsid w:val="009D4649"/>
    <w:rsid w:val="009D46D2"/>
    <w:rsid w:val="009D488A"/>
    <w:rsid w:val="009D53B5"/>
    <w:rsid w:val="009D57A8"/>
    <w:rsid w:val="009D6A24"/>
    <w:rsid w:val="009D76A5"/>
    <w:rsid w:val="009E006A"/>
    <w:rsid w:val="009E006F"/>
    <w:rsid w:val="009E0DAE"/>
    <w:rsid w:val="009E1D86"/>
    <w:rsid w:val="009E1E4E"/>
    <w:rsid w:val="009E1EF4"/>
    <w:rsid w:val="009E23AB"/>
    <w:rsid w:val="009E3F0D"/>
    <w:rsid w:val="009E6592"/>
    <w:rsid w:val="009E692D"/>
    <w:rsid w:val="009E70F3"/>
    <w:rsid w:val="009F0CF3"/>
    <w:rsid w:val="009F280A"/>
    <w:rsid w:val="009F34E8"/>
    <w:rsid w:val="009F4B87"/>
    <w:rsid w:val="009F594B"/>
    <w:rsid w:val="009F5A33"/>
    <w:rsid w:val="009F6B4D"/>
    <w:rsid w:val="009F6E3C"/>
    <w:rsid w:val="009F7341"/>
    <w:rsid w:val="009F7820"/>
    <w:rsid w:val="009F7CB1"/>
    <w:rsid w:val="009F7FB9"/>
    <w:rsid w:val="00A000BC"/>
    <w:rsid w:val="00A00402"/>
    <w:rsid w:val="00A00653"/>
    <w:rsid w:val="00A00D81"/>
    <w:rsid w:val="00A00FD6"/>
    <w:rsid w:val="00A01FAF"/>
    <w:rsid w:val="00A0250B"/>
    <w:rsid w:val="00A03265"/>
    <w:rsid w:val="00A03F59"/>
    <w:rsid w:val="00A0594A"/>
    <w:rsid w:val="00A06F05"/>
    <w:rsid w:val="00A07606"/>
    <w:rsid w:val="00A07A9D"/>
    <w:rsid w:val="00A07B7F"/>
    <w:rsid w:val="00A11E7E"/>
    <w:rsid w:val="00A12240"/>
    <w:rsid w:val="00A12BCA"/>
    <w:rsid w:val="00A12FE8"/>
    <w:rsid w:val="00A137D5"/>
    <w:rsid w:val="00A13859"/>
    <w:rsid w:val="00A13E4A"/>
    <w:rsid w:val="00A13F60"/>
    <w:rsid w:val="00A143E8"/>
    <w:rsid w:val="00A15BB1"/>
    <w:rsid w:val="00A1614E"/>
    <w:rsid w:val="00A16541"/>
    <w:rsid w:val="00A16EED"/>
    <w:rsid w:val="00A2035B"/>
    <w:rsid w:val="00A20B16"/>
    <w:rsid w:val="00A21698"/>
    <w:rsid w:val="00A21A04"/>
    <w:rsid w:val="00A23C0A"/>
    <w:rsid w:val="00A24342"/>
    <w:rsid w:val="00A24C5F"/>
    <w:rsid w:val="00A26F7C"/>
    <w:rsid w:val="00A27712"/>
    <w:rsid w:val="00A32974"/>
    <w:rsid w:val="00A32A9E"/>
    <w:rsid w:val="00A32FA2"/>
    <w:rsid w:val="00A3442A"/>
    <w:rsid w:val="00A34670"/>
    <w:rsid w:val="00A34732"/>
    <w:rsid w:val="00A34C85"/>
    <w:rsid w:val="00A368AF"/>
    <w:rsid w:val="00A36B23"/>
    <w:rsid w:val="00A36EFB"/>
    <w:rsid w:val="00A3734C"/>
    <w:rsid w:val="00A37C61"/>
    <w:rsid w:val="00A400B8"/>
    <w:rsid w:val="00A4025E"/>
    <w:rsid w:val="00A40978"/>
    <w:rsid w:val="00A41A2D"/>
    <w:rsid w:val="00A42159"/>
    <w:rsid w:val="00A43DF6"/>
    <w:rsid w:val="00A441BF"/>
    <w:rsid w:val="00A4661D"/>
    <w:rsid w:val="00A46C9C"/>
    <w:rsid w:val="00A47196"/>
    <w:rsid w:val="00A4725F"/>
    <w:rsid w:val="00A5031A"/>
    <w:rsid w:val="00A5069C"/>
    <w:rsid w:val="00A5096C"/>
    <w:rsid w:val="00A50EEB"/>
    <w:rsid w:val="00A53727"/>
    <w:rsid w:val="00A56B35"/>
    <w:rsid w:val="00A57A90"/>
    <w:rsid w:val="00A60B15"/>
    <w:rsid w:val="00A60FA4"/>
    <w:rsid w:val="00A61481"/>
    <w:rsid w:val="00A6159D"/>
    <w:rsid w:val="00A62003"/>
    <w:rsid w:val="00A639B1"/>
    <w:rsid w:val="00A639BA"/>
    <w:rsid w:val="00A64095"/>
    <w:rsid w:val="00A647F2"/>
    <w:rsid w:val="00A64991"/>
    <w:rsid w:val="00A650AE"/>
    <w:rsid w:val="00A65114"/>
    <w:rsid w:val="00A65B0E"/>
    <w:rsid w:val="00A65DE4"/>
    <w:rsid w:val="00A65E6D"/>
    <w:rsid w:val="00A6689C"/>
    <w:rsid w:val="00A668A8"/>
    <w:rsid w:val="00A66A0B"/>
    <w:rsid w:val="00A66B39"/>
    <w:rsid w:val="00A66DF4"/>
    <w:rsid w:val="00A673C1"/>
    <w:rsid w:val="00A700C0"/>
    <w:rsid w:val="00A702E9"/>
    <w:rsid w:val="00A7040D"/>
    <w:rsid w:val="00A705BB"/>
    <w:rsid w:val="00A70C4B"/>
    <w:rsid w:val="00A710F3"/>
    <w:rsid w:val="00A7201F"/>
    <w:rsid w:val="00A72049"/>
    <w:rsid w:val="00A72591"/>
    <w:rsid w:val="00A7286E"/>
    <w:rsid w:val="00A72BC4"/>
    <w:rsid w:val="00A72CC4"/>
    <w:rsid w:val="00A73CCD"/>
    <w:rsid w:val="00A751EE"/>
    <w:rsid w:val="00A760E8"/>
    <w:rsid w:val="00A772A8"/>
    <w:rsid w:val="00A8020B"/>
    <w:rsid w:val="00A803D0"/>
    <w:rsid w:val="00A81848"/>
    <w:rsid w:val="00A8184F"/>
    <w:rsid w:val="00A818C7"/>
    <w:rsid w:val="00A8201A"/>
    <w:rsid w:val="00A82758"/>
    <w:rsid w:val="00A86836"/>
    <w:rsid w:val="00A879F1"/>
    <w:rsid w:val="00A87B08"/>
    <w:rsid w:val="00A91376"/>
    <w:rsid w:val="00A91858"/>
    <w:rsid w:val="00A92202"/>
    <w:rsid w:val="00A9317A"/>
    <w:rsid w:val="00A93963"/>
    <w:rsid w:val="00A94317"/>
    <w:rsid w:val="00A95D92"/>
    <w:rsid w:val="00A9736A"/>
    <w:rsid w:val="00A97AD1"/>
    <w:rsid w:val="00AA0AB2"/>
    <w:rsid w:val="00AA1185"/>
    <w:rsid w:val="00AA154D"/>
    <w:rsid w:val="00AA1775"/>
    <w:rsid w:val="00AA1CCD"/>
    <w:rsid w:val="00AA1F13"/>
    <w:rsid w:val="00AA4979"/>
    <w:rsid w:val="00AA4EFC"/>
    <w:rsid w:val="00AA5FBF"/>
    <w:rsid w:val="00AA663B"/>
    <w:rsid w:val="00AA6FBB"/>
    <w:rsid w:val="00AA705F"/>
    <w:rsid w:val="00AA745A"/>
    <w:rsid w:val="00AB09D8"/>
    <w:rsid w:val="00AB0A51"/>
    <w:rsid w:val="00AB11A3"/>
    <w:rsid w:val="00AB1C3B"/>
    <w:rsid w:val="00AB21AC"/>
    <w:rsid w:val="00AB530F"/>
    <w:rsid w:val="00AB5C7A"/>
    <w:rsid w:val="00AB6112"/>
    <w:rsid w:val="00AB65A8"/>
    <w:rsid w:val="00AB6D07"/>
    <w:rsid w:val="00AB73AD"/>
    <w:rsid w:val="00AB7F47"/>
    <w:rsid w:val="00AC021F"/>
    <w:rsid w:val="00AC057F"/>
    <w:rsid w:val="00AC2427"/>
    <w:rsid w:val="00AC2CB7"/>
    <w:rsid w:val="00AC3528"/>
    <w:rsid w:val="00AC388E"/>
    <w:rsid w:val="00AC500D"/>
    <w:rsid w:val="00AC55F0"/>
    <w:rsid w:val="00AC5FE3"/>
    <w:rsid w:val="00AC7400"/>
    <w:rsid w:val="00AC7AF2"/>
    <w:rsid w:val="00AC7BB8"/>
    <w:rsid w:val="00AD1026"/>
    <w:rsid w:val="00AD153F"/>
    <w:rsid w:val="00AD1A7C"/>
    <w:rsid w:val="00AD1AB7"/>
    <w:rsid w:val="00AD1BD5"/>
    <w:rsid w:val="00AD20A3"/>
    <w:rsid w:val="00AD2680"/>
    <w:rsid w:val="00AD2F88"/>
    <w:rsid w:val="00AD3C33"/>
    <w:rsid w:val="00AD4706"/>
    <w:rsid w:val="00AD488E"/>
    <w:rsid w:val="00AD4932"/>
    <w:rsid w:val="00AD5C29"/>
    <w:rsid w:val="00AD695A"/>
    <w:rsid w:val="00AD6F36"/>
    <w:rsid w:val="00AD7C3F"/>
    <w:rsid w:val="00AD7F24"/>
    <w:rsid w:val="00AE031A"/>
    <w:rsid w:val="00AE04B6"/>
    <w:rsid w:val="00AE2247"/>
    <w:rsid w:val="00AE39F0"/>
    <w:rsid w:val="00AE3B4E"/>
    <w:rsid w:val="00AE3C7F"/>
    <w:rsid w:val="00AE44E0"/>
    <w:rsid w:val="00AE4FEE"/>
    <w:rsid w:val="00AE6019"/>
    <w:rsid w:val="00AE6C7D"/>
    <w:rsid w:val="00AF0D24"/>
    <w:rsid w:val="00AF1153"/>
    <w:rsid w:val="00AF12BE"/>
    <w:rsid w:val="00AF1B75"/>
    <w:rsid w:val="00AF221D"/>
    <w:rsid w:val="00AF24A8"/>
    <w:rsid w:val="00AF2EDA"/>
    <w:rsid w:val="00AF32E5"/>
    <w:rsid w:val="00AF3625"/>
    <w:rsid w:val="00AF3F6D"/>
    <w:rsid w:val="00AF41C4"/>
    <w:rsid w:val="00AF446D"/>
    <w:rsid w:val="00AF5241"/>
    <w:rsid w:val="00AF5501"/>
    <w:rsid w:val="00AF59B9"/>
    <w:rsid w:val="00AF6BCC"/>
    <w:rsid w:val="00AF73C3"/>
    <w:rsid w:val="00B0060B"/>
    <w:rsid w:val="00B011E9"/>
    <w:rsid w:val="00B01C7E"/>
    <w:rsid w:val="00B01DBD"/>
    <w:rsid w:val="00B032BE"/>
    <w:rsid w:val="00B03E91"/>
    <w:rsid w:val="00B07A26"/>
    <w:rsid w:val="00B11451"/>
    <w:rsid w:val="00B137BF"/>
    <w:rsid w:val="00B1391D"/>
    <w:rsid w:val="00B14138"/>
    <w:rsid w:val="00B142F8"/>
    <w:rsid w:val="00B1564F"/>
    <w:rsid w:val="00B15F22"/>
    <w:rsid w:val="00B16857"/>
    <w:rsid w:val="00B17381"/>
    <w:rsid w:val="00B1739C"/>
    <w:rsid w:val="00B2024F"/>
    <w:rsid w:val="00B20539"/>
    <w:rsid w:val="00B20D68"/>
    <w:rsid w:val="00B21217"/>
    <w:rsid w:val="00B2165E"/>
    <w:rsid w:val="00B21D33"/>
    <w:rsid w:val="00B21F29"/>
    <w:rsid w:val="00B22BD4"/>
    <w:rsid w:val="00B2345B"/>
    <w:rsid w:val="00B2380C"/>
    <w:rsid w:val="00B23FC4"/>
    <w:rsid w:val="00B241C6"/>
    <w:rsid w:val="00B243F2"/>
    <w:rsid w:val="00B24965"/>
    <w:rsid w:val="00B255A9"/>
    <w:rsid w:val="00B2693A"/>
    <w:rsid w:val="00B27B54"/>
    <w:rsid w:val="00B27E1E"/>
    <w:rsid w:val="00B30470"/>
    <w:rsid w:val="00B3083E"/>
    <w:rsid w:val="00B3145D"/>
    <w:rsid w:val="00B31851"/>
    <w:rsid w:val="00B31C84"/>
    <w:rsid w:val="00B3216D"/>
    <w:rsid w:val="00B32AFE"/>
    <w:rsid w:val="00B32E6A"/>
    <w:rsid w:val="00B33B62"/>
    <w:rsid w:val="00B33EC1"/>
    <w:rsid w:val="00B3661A"/>
    <w:rsid w:val="00B3722F"/>
    <w:rsid w:val="00B41052"/>
    <w:rsid w:val="00B410D7"/>
    <w:rsid w:val="00B43905"/>
    <w:rsid w:val="00B44075"/>
    <w:rsid w:val="00B44B37"/>
    <w:rsid w:val="00B44F17"/>
    <w:rsid w:val="00B467A2"/>
    <w:rsid w:val="00B46DD2"/>
    <w:rsid w:val="00B46ED4"/>
    <w:rsid w:val="00B46FC3"/>
    <w:rsid w:val="00B47731"/>
    <w:rsid w:val="00B47CA3"/>
    <w:rsid w:val="00B525DE"/>
    <w:rsid w:val="00B52CBF"/>
    <w:rsid w:val="00B53042"/>
    <w:rsid w:val="00B55425"/>
    <w:rsid w:val="00B55839"/>
    <w:rsid w:val="00B558B4"/>
    <w:rsid w:val="00B5672A"/>
    <w:rsid w:val="00B572FB"/>
    <w:rsid w:val="00B579C6"/>
    <w:rsid w:val="00B60274"/>
    <w:rsid w:val="00B6034B"/>
    <w:rsid w:val="00B603DD"/>
    <w:rsid w:val="00B62548"/>
    <w:rsid w:val="00B62FC5"/>
    <w:rsid w:val="00B63E3A"/>
    <w:rsid w:val="00B64F26"/>
    <w:rsid w:val="00B653EA"/>
    <w:rsid w:val="00B663C4"/>
    <w:rsid w:val="00B66BAB"/>
    <w:rsid w:val="00B6767E"/>
    <w:rsid w:val="00B67733"/>
    <w:rsid w:val="00B717DE"/>
    <w:rsid w:val="00B7186F"/>
    <w:rsid w:val="00B719EA"/>
    <w:rsid w:val="00B72CE2"/>
    <w:rsid w:val="00B737ED"/>
    <w:rsid w:val="00B7406B"/>
    <w:rsid w:val="00B75E52"/>
    <w:rsid w:val="00B7651E"/>
    <w:rsid w:val="00B76C05"/>
    <w:rsid w:val="00B77764"/>
    <w:rsid w:val="00B77D8D"/>
    <w:rsid w:val="00B809E0"/>
    <w:rsid w:val="00B81393"/>
    <w:rsid w:val="00B81672"/>
    <w:rsid w:val="00B818ED"/>
    <w:rsid w:val="00B8283A"/>
    <w:rsid w:val="00B846C5"/>
    <w:rsid w:val="00B85083"/>
    <w:rsid w:val="00B854AA"/>
    <w:rsid w:val="00B85ED4"/>
    <w:rsid w:val="00B86FF6"/>
    <w:rsid w:val="00B871BA"/>
    <w:rsid w:val="00B872A8"/>
    <w:rsid w:val="00B913F0"/>
    <w:rsid w:val="00B91726"/>
    <w:rsid w:val="00B92B24"/>
    <w:rsid w:val="00B935EF"/>
    <w:rsid w:val="00B93673"/>
    <w:rsid w:val="00B93A7E"/>
    <w:rsid w:val="00B93C09"/>
    <w:rsid w:val="00B947B0"/>
    <w:rsid w:val="00B94FAD"/>
    <w:rsid w:val="00B96E28"/>
    <w:rsid w:val="00B970DD"/>
    <w:rsid w:val="00BA048B"/>
    <w:rsid w:val="00BA091A"/>
    <w:rsid w:val="00BA15F9"/>
    <w:rsid w:val="00BA1641"/>
    <w:rsid w:val="00BA3740"/>
    <w:rsid w:val="00BA3E81"/>
    <w:rsid w:val="00BA6432"/>
    <w:rsid w:val="00BA69D9"/>
    <w:rsid w:val="00BA77E8"/>
    <w:rsid w:val="00BA7B73"/>
    <w:rsid w:val="00BB045D"/>
    <w:rsid w:val="00BB053F"/>
    <w:rsid w:val="00BB07E7"/>
    <w:rsid w:val="00BB1058"/>
    <w:rsid w:val="00BB11C0"/>
    <w:rsid w:val="00BB2333"/>
    <w:rsid w:val="00BB3C6C"/>
    <w:rsid w:val="00BB3E83"/>
    <w:rsid w:val="00BB57BC"/>
    <w:rsid w:val="00BB5C0D"/>
    <w:rsid w:val="00BB74B5"/>
    <w:rsid w:val="00BB7A34"/>
    <w:rsid w:val="00BB7CBD"/>
    <w:rsid w:val="00BC2E33"/>
    <w:rsid w:val="00BC3EB1"/>
    <w:rsid w:val="00BC4D80"/>
    <w:rsid w:val="00BC4F6C"/>
    <w:rsid w:val="00BC5B6C"/>
    <w:rsid w:val="00BC753F"/>
    <w:rsid w:val="00BC778E"/>
    <w:rsid w:val="00BD09CB"/>
    <w:rsid w:val="00BD10D2"/>
    <w:rsid w:val="00BD1AB5"/>
    <w:rsid w:val="00BD222A"/>
    <w:rsid w:val="00BD229A"/>
    <w:rsid w:val="00BD28F6"/>
    <w:rsid w:val="00BD370D"/>
    <w:rsid w:val="00BD3C66"/>
    <w:rsid w:val="00BD4353"/>
    <w:rsid w:val="00BD4BBA"/>
    <w:rsid w:val="00BD5733"/>
    <w:rsid w:val="00BE04B2"/>
    <w:rsid w:val="00BE12EA"/>
    <w:rsid w:val="00BE19AD"/>
    <w:rsid w:val="00BE1BE0"/>
    <w:rsid w:val="00BE30F2"/>
    <w:rsid w:val="00BE4384"/>
    <w:rsid w:val="00BE46E1"/>
    <w:rsid w:val="00BE4E40"/>
    <w:rsid w:val="00BE4FD8"/>
    <w:rsid w:val="00BE576D"/>
    <w:rsid w:val="00BE5908"/>
    <w:rsid w:val="00BE69C1"/>
    <w:rsid w:val="00BE6F16"/>
    <w:rsid w:val="00BE7676"/>
    <w:rsid w:val="00BE7AE9"/>
    <w:rsid w:val="00BE7E74"/>
    <w:rsid w:val="00BF0B77"/>
    <w:rsid w:val="00BF0D4F"/>
    <w:rsid w:val="00BF1048"/>
    <w:rsid w:val="00BF113C"/>
    <w:rsid w:val="00BF203C"/>
    <w:rsid w:val="00BF2F40"/>
    <w:rsid w:val="00BF3EAD"/>
    <w:rsid w:val="00BF4886"/>
    <w:rsid w:val="00BF49D3"/>
    <w:rsid w:val="00BF5521"/>
    <w:rsid w:val="00BF6140"/>
    <w:rsid w:val="00BF6192"/>
    <w:rsid w:val="00BF6E97"/>
    <w:rsid w:val="00C0047A"/>
    <w:rsid w:val="00C00705"/>
    <w:rsid w:val="00C01058"/>
    <w:rsid w:val="00C02394"/>
    <w:rsid w:val="00C044E4"/>
    <w:rsid w:val="00C054A0"/>
    <w:rsid w:val="00C05A9F"/>
    <w:rsid w:val="00C06931"/>
    <w:rsid w:val="00C06BAC"/>
    <w:rsid w:val="00C07D27"/>
    <w:rsid w:val="00C10CC2"/>
    <w:rsid w:val="00C11C07"/>
    <w:rsid w:val="00C1240B"/>
    <w:rsid w:val="00C1255E"/>
    <w:rsid w:val="00C133C1"/>
    <w:rsid w:val="00C135CC"/>
    <w:rsid w:val="00C13CD8"/>
    <w:rsid w:val="00C15BCA"/>
    <w:rsid w:val="00C16302"/>
    <w:rsid w:val="00C16E05"/>
    <w:rsid w:val="00C16F24"/>
    <w:rsid w:val="00C17031"/>
    <w:rsid w:val="00C175A9"/>
    <w:rsid w:val="00C17BF2"/>
    <w:rsid w:val="00C17FA5"/>
    <w:rsid w:val="00C20214"/>
    <w:rsid w:val="00C2073D"/>
    <w:rsid w:val="00C20A5A"/>
    <w:rsid w:val="00C20D97"/>
    <w:rsid w:val="00C21781"/>
    <w:rsid w:val="00C22084"/>
    <w:rsid w:val="00C2280F"/>
    <w:rsid w:val="00C22B3A"/>
    <w:rsid w:val="00C22FDB"/>
    <w:rsid w:val="00C23BD6"/>
    <w:rsid w:val="00C24885"/>
    <w:rsid w:val="00C24B01"/>
    <w:rsid w:val="00C24DED"/>
    <w:rsid w:val="00C24FE3"/>
    <w:rsid w:val="00C2562C"/>
    <w:rsid w:val="00C2641B"/>
    <w:rsid w:val="00C30391"/>
    <w:rsid w:val="00C303B4"/>
    <w:rsid w:val="00C3200D"/>
    <w:rsid w:val="00C32AAD"/>
    <w:rsid w:val="00C33A37"/>
    <w:rsid w:val="00C36996"/>
    <w:rsid w:val="00C40002"/>
    <w:rsid w:val="00C40131"/>
    <w:rsid w:val="00C40B3A"/>
    <w:rsid w:val="00C40C8D"/>
    <w:rsid w:val="00C40CFF"/>
    <w:rsid w:val="00C41384"/>
    <w:rsid w:val="00C4193B"/>
    <w:rsid w:val="00C42556"/>
    <w:rsid w:val="00C43CB8"/>
    <w:rsid w:val="00C455DE"/>
    <w:rsid w:val="00C45731"/>
    <w:rsid w:val="00C45A65"/>
    <w:rsid w:val="00C4613B"/>
    <w:rsid w:val="00C462A3"/>
    <w:rsid w:val="00C46319"/>
    <w:rsid w:val="00C46717"/>
    <w:rsid w:val="00C47B37"/>
    <w:rsid w:val="00C50507"/>
    <w:rsid w:val="00C506A8"/>
    <w:rsid w:val="00C515C5"/>
    <w:rsid w:val="00C51B61"/>
    <w:rsid w:val="00C52CE7"/>
    <w:rsid w:val="00C52DDB"/>
    <w:rsid w:val="00C531D4"/>
    <w:rsid w:val="00C535F5"/>
    <w:rsid w:val="00C53715"/>
    <w:rsid w:val="00C5454F"/>
    <w:rsid w:val="00C54C5F"/>
    <w:rsid w:val="00C5590C"/>
    <w:rsid w:val="00C55CA4"/>
    <w:rsid w:val="00C56BA1"/>
    <w:rsid w:val="00C605D1"/>
    <w:rsid w:val="00C6225F"/>
    <w:rsid w:val="00C629D8"/>
    <w:rsid w:val="00C63A77"/>
    <w:rsid w:val="00C64B5E"/>
    <w:rsid w:val="00C64EFD"/>
    <w:rsid w:val="00C64F8A"/>
    <w:rsid w:val="00C66D77"/>
    <w:rsid w:val="00C70496"/>
    <w:rsid w:val="00C705DA"/>
    <w:rsid w:val="00C70F01"/>
    <w:rsid w:val="00C71D78"/>
    <w:rsid w:val="00C72511"/>
    <w:rsid w:val="00C72C91"/>
    <w:rsid w:val="00C74609"/>
    <w:rsid w:val="00C76701"/>
    <w:rsid w:val="00C8092F"/>
    <w:rsid w:val="00C809C0"/>
    <w:rsid w:val="00C8126C"/>
    <w:rsid w:val="00C81531"/>
    <w:rsid w:val="00C81717"/>
    <w:rsid w:val="00C8178F"/>
    <w:rsid w:val="00C83954"/>
    <w:rsid w:val="00C83BDB"/>
    <w:rsid w:val="00C854D9"/>
    <w:rsid w:val="00C85CD7"/>
    <w:rsid w:val="00C860E6"/>
    <w:rsid w:val="00C878C5"/>
    <w:rsid w:val="00C903E3"/>
    <w:rsid w:val="00C9086F"/>
    <w:rsid w:val="00C91C94"/>
    <w:rsid w:val="00C92793"/>
    <w:rsid w:val="00C9301D"/>
    <w:rsid w:val="00C93E20"/>
    <w:rsid w:val="00C94605"/>
    <w:rsid w:val="00C947AB"/>
    <w:rsid w:val="00C951EB"/>
    <w:rsid w:val="00C953FF"/>
    <w:rsid w:val="00C95B16"/>
    <w:rsid w:val="00C9603A"/>
    <w:rsid w:val="00C96772"/>
    <w:rsid w:val="00C97359"/>
    <w:rsid w:val="00CA01C9"/>
    <w:rsid w:val="00CA0434"/>
    <w:rsid w:val="00CA1709"/>
    <w:rsid w:val="00CA1A89"/>
    <w:rsid w:val="00CA328B"/>
    <w:rsid w:val="00CA44D7"/>
    <w:rsid w:val="00CA486C"/>
    <w:rsid w:val="00CA552E"/>
    <w:rsid w:val="00CA5732"/>
    <w:rsid w:val="00CA5C5C"/>
    <w:rsid w:val="00CA62EC"/>
    <w:rsid w:val="00CA7905"/>
    <w:rsid w:val="00CA7CCE"/>
    <w:rsid w:val="00CB01AA"/>
    <w:rsid w:val="00CB117E"/>
    <w:rsid w:val="00CB11BA"/>
    <w:rsid w:val="00CB14C0"/>
    <w:rsid w:val="00CB1BD1"/>
    <w:rsid w:val="00CB372E"/>
    <w:rsid w:val="00CB3F0E"/>
    <w:rsid w:val="00CB48FB"/>
    <w:rsid w:val="00CB4E99"/>
    <w:rsid w:val="00CB622E"/>
    <w:rsid w:val="00CB6980"/>
    <w:rsid w:val="00CB6BAB"/>
    <w:rsid w:val="00CB7483"/>
    <w:rsid w:val="00CC00FB"/>
    <w:rsid w:val="00CC0CB8"/>
    <w:rsid w:val="00CC191B"/>
    <w:rsid w:val="00CC2016"/>
    <w:rsid w:val="00CC27E1"/>
    <w:rsid w:val="00CC34E6"/>
    <w:rsid w:val="00CC3608"/>
    <w:rsid w:val="00CC435E"/>
    <w:rsid w:val="00CC542E"/>
    <w:rsid w:val="00CC5A6A"/>
    <w:rsid w:val="00CC5C22"/>
    <w:rsid w:val="00CC6658"/>
    <w:rsid w:val="00CD0056"/>
    <w:rsid w:val="00CD00CF"/>
    <w:rsid w:val="00CD1E03"/>
    <w:rsid w:val="00CD314F"/>
    <w:rsid w:val="00CD374E"/>
    <w:rsid w:val="00CD37BE"/>
    <w:rsid w:val="00CD4C93"/>
    <w:rsid w:val="00CD50E7"/>
    <w:rsid w:val="00CD58DB"/>
    <w:rsid w:val="00CD5A63"/>
    <w:rsid w:val="00CD6115"/>
    <w:rsid w:val="00CD6768"/>
    <w:rsid w:val="00CD6E14"/>
    <w:rsid w:val="00CD78A3"/>
    <w:rsid w:val="00CD7D86"/>
    <w:rsid w:val="00CD7FAB"/>
    <w:rsid w:val="00CE0398"/>
    <w:rsid w:val="00CE21AB"/>
    <w:rsid w:val="00CE277F"/>
    <w:rsid w:val="00CE287B"/>
    <w:rsid w:val="00CE52B8"/>
    <w:rsid w:val="00CE56FE"/>
    <w:rsid w:val="00CE6816"/>
    <w:rsid w:val="00CF08D8"/>
    <w:rsid w:val="00CF11D1"/>
    <w:rsid w:val="00CF186F"/>
    <w:rsid w:val="00CF1DE5"/>
    <w:rsid w:val="00CF1E53"/>
    <w:rsid w:val="00CF21E7"/>
    <w:rsid w:val="00CF2C7D"/>
    <w:rsid w:val="00CF490E"/>
    <w:rsid w:val="00CF4DD4"/>
    <w:rsid w:val="00CF4FE5"/>
    <w:rsid w:val="00CF533D"/>
    <w:rsid w:val="00CF5E0F"/>
    <w:rsid w:val="00CF6834"/>
    <w:rsid w:val="00CF6FBA"/>
    <w:rsid w:val="00D001CD"/>
    <w:rsid w:val="00D00AD7"/>
    <w:rsid w:val="00D014EF"/>
    <w:rsid w:val="00D016E2"/>
    <w:rsid w:val="00D02E43"/>
    <w:rsid w:val="00D02E9F"/>
    <w:rsid w:val="00D02EE6"/>
    <w:rsid w:val="00D036A5"/>
    <w:rsid w:val="00D03DEB"/>
    <w:rsid w:val="00D04F76"/>
    <w:rsid w:val="00D05B96"/>
    <w:rsid w:val="00D06F92"/>
    <w:rsid w:val="00D1021D"/>
    <w:rsid w:val="00D10A39"/>
    <w:rsid w:val="00D116FB"/>
    <w:rsid w:val="00D11C2E"/>
    <w:rsid w:val="00D12ED1"/>
    <w:rsid w:val="00D12EFE"/>
    <w:rsid w:val="00D1316A"/>
    <w:rsid w:val="00D139A2"/>
    <w:rsid w:val="00D1417B"/>
    <w:rsid w:val="00D14A6F"/>
    <w:rsid w:val="00D14DE7"/>
    <w:rsid w:val="00D16BF2"/>
    <w:rsid w:val="00D1706A"/>
    <w:rsid w:val="00D21095"/>
    <w:rsid w:val="00D21F53"/>
    <w:rsid w:val="00D22812"/>
    <w:rsid w:val="00D25324"/>
    <w:rsid w:val="00D25416"/>
    <w:rsid w:val="00D25F25"/>
    <w:rsid w:val="00D27021"/>
    <w:rsid w:val="00D27AE2"/>
    <w:rsid w:val="00D3007C"/>
    <w:rsid w:val="00D313D5"/>
    <w:rsid w:val="00D31BD7"/>
    <w:rsid w:val="00D34A09"/>
    <w:rsid w:val="00D34F39"/>
    <w:rsid w:val="00D35CB6"/>
    <w:rsid w:val="00D362F0"/>
    <w:rsid w:val="00D37929"/>
    <w:rsid w:val="00D444A0"/>
    <w:rsid w:val="00D45D8A"/>
    <w:rsid w:val="00D479E2"/>
    <w:rsid w:val="00D50B22"/>
    <w:rsid w:val="00D52479"/>
    <w:rsid w:val="00D53777"/>
    <w:rsid w:val="00D54DB8"/>
    <w:rsid w:val="00D54E7E"/>
    <w:rsid w:val="00D54EFC"/>
    <w:rsid w:val="00D54FCC"/>
    <w:rsid w:val="00D5509E"/>
    <w:rsid w:val="00D552ED"/>
    <w:rsid w:val="00D561F6"/>
    <w:rsid w:val="00D5713F"/>
    <w:rsid w:val="00D575C8"/>
    <w:rsid w:val="00D64017"/>
    <w:rsid w:val="00D649F9"/>
    <w:rsid w:val="00D64BCE"/>
    <w:rsid w:val="00D64F8E"/>
    <w:rsid w:val="00D65D6E"/>
    <w:rsid w:val="00D65F06"/>
    <w:rsid w:val="00D664D4"/>
    <w:rsid w:val="00D669C3"/>
    <w:rsid w:val="00D66C97"/>
    <w:rsid w:val="00D6781D"/>
    <w:rsid w:val="00D67C43"/>
    <w:rsid w:val="00D67D0F"/>
    <w:rsid w:val="00D67E36"/>
    <w:rsid w:val="00D71017"/>
    <w:rsid w:val="00D71AD7"/>
    <w:rsid w:val="00D71B91"/>
    <w:rsid w:val="00D7382C"/>
    <w:rsid w:val="00D73D1D"/>
    <w:rsid w:val="00D75393"/>
    <w:rsid w:val="00D75EF8"/>
    <w:rsid w:val="00D77508"/>
    <w:rsid w:val="00D77BD3"/>
    <w:rsid w:val="00D8076C"/>
    <w:rsid w:val="00D8170F"/>
    <w:rsid w:val="00D81AD0"/>
    <w:rsid w:val="00D82815"/>
    <w:rsid w:val="00D82AE9"/>
    <w:rsid w:val="00D85420"/>
    <w:rsid w:val="00D900A1"/>
    <w:rsid w:val="00D90427"/>
    <w:rsid w:val="00D909AB"/>
    <w:rsid w:val="00D90F13"/>
    <w:rsid w:val="00D912DE"/>
    <w:rsid w:val="00D91BFF"/>
    <w:rsid w:val="00D921C9"/>
    <w:rsid w:val="00D922F5"/>
    <w:rsid w:val="00D92CD8"/>
    <w:rsid w:val="00D92D8B"/>
    <w:rsid w:val="00D9388E"/>
    <w:rsid w:val="00D93EF3"/>
    <w:rsid w:val="00D94E75"/>
    <w:rsid w:val="00D96949"/>
    <w:rsid w:val="00D97258"/>
    <w:rsid w:val="00D978B3"/>
    <w:rsid w:val="00DA0F9E"/>
    <w:rsid w:val="00DA10A7"/>
    <w:rsid w:val="00DA1AC7"/>
    <w:rsid w:val="00DA1F5F"/>
    <w:rsid w:val="00DA300C"/>
    <w:rsid w:val="00DA3AC8"/>
    <w:rsid w:val="00DA4753"/>
    <w:rsid w:val="00DA4B08"/>
    <w:rsid w:val="00DA5952"/>
    <w:rsid w:val="00DA6223"/>
    <w:rsid w:val="00DA652C"/>
    <w:rsid w:val="00DA666D"/>
    <w:rsid w:val="00DA7251"/>
    <w:rsid w:val="00DA7978"/>
    <w:rsid w:val="00DB0FEC"/>
    <w:rsid w:val="00DB12DB"/>
    <w:rsid w:val="00DB179C"/>
    <w:rsid w:val="00DB223E"/>
    <w:rsid w:val="00DB2497"/>
    <w:rsid w:val="00DB2E57"/>
    <w:rsid w:val="00DB328B"/>
    <w:rsid w:val="00DB425A"/>
    <w:rsid w:val="00DB78E0"/>
    <w:rsid w:val="00DB7D4B"/>
    <w:rsid w:val="00DB7F02"/>
    <w:rsid w:val="00DB7F6B"/>
    <w:rsid w:val="00DC015E"/>
    <w:rsid w:val="00DC061D"/>
    <w:rsid w:val="00DC179D"/>
    <w:rsid w:val="00DC2A59"/>
    <w:rsid w:val="00DC3293"/>
    <w:rsid w:val="00DC53E8"/>
    <w:rsid w:val="00DC55FE"/>
    <w:rsid w:val="00DC6608"/>
    <w:rsid w:val="00DC7188"/>
    <w:rsid w:val="00DC7C89"/>
    <w:rsid w:val="00DD01A1"/>
    <w:rsid w:val="00DD02A4"/>
    <w:rsid w:val="00DD0355"/>
    <w:rsid w:val="00DD04D8"/>
    <w:rsid w:val="00DD054E"/>
    <w:rsid w:val="00DD079B"/>
    <w:rsid w:val="00DD0899"/>
    <w:rsid w:val="00DD2161"/>
    <w:rsid w:val="00DD28B4"/>
    <w:rsid w:val="00DD436A"/>
    <w:rsid w:val="00DD49B6"/>
    <w:rsid w:val="00DD50AF"/>
    <w:rsid w:val="00DD5E1D"/>
    <w:rsid w:val="00DD78C0"/>
    <w:rsid w:val="00DD7B32"/>
    <w:rsid w:val="00DD7F04"/>
    <w:rsid w:val="00DE1EBB"/>
    <w:rsid w:val="00DE2240"/>
    <w:rsid w:val="00DE3B38"/>
    <w:rsid w:val="00DE3F00"/>
    <w:rsid w:val="00DE5C53"/>
    <w:rsid w:val="00DE5D6E"/>
    <w:rsid w:val="00DE5EE6"/>
    <w:rsid w:val="00DE7B10"/>
    <w:rsid w:val="00DF1119"/>
    <w:rsid w:val="00DF204B"/>
    <w:rsid w:val="00DF2BEC"/>
    <w:rsid w:val="00DF39DB"/>
    <w:rsid w:val="00DF476B"/>
    <w:rsid w:val="00DF4C3A"/>
    <w:rsid w:val="00DF5682"/>
    <w:rsid w:val="00DF5A59"/>
    <w:rsid w:val="00DF6792"/>
    <w:rsid w:val="00DF6FCB"/>
    <w:rsid w:val="00DF7838"/>
    <w:rsid w:val="00E0050A"/>
    <w:rsid w:val="00E0073E"/>
    <w:rsid w:val="00E00800"/>
    <w:rsid w:val="00E017F5"/>
    <w:rsid w:val="00E02519"/>
    <w:rsid w:val="00E0273B"/>
    <w:rsid w:val="00E02E19"/>
    <w:rsid w:val="00E02F71"/>
    <w:rsid w:val="00E03220"/>
    <w:rsid w:val="00E03F4A"/>
    <w:rsid w:val="00E040A6"/>
    <w:rsid w:val="00E05A5B"/>
    <w:rsid w:val="00E0612A"/>
    <w:rsid w:val="00E1211A"/>
    <w:rsid w:val="00E12AFB"/>
    <w:rsid w:val="00E12C6A"/>
    <w:rsid w:val="00E134B4"/>
    <w:rsid w:val="00E140FC"/>
    <w:rsid w:val="00E1481C"/>
    <w:rsid w:val="00E14C5D"/>
    <w:rsid w:val="00E1501F"/>
    <w:rsid w:val="00E16F05"/>
    <w:rsid w:val="00E17C4B"/>
    <w:rsid w:val="00E20494"/>
    <w:rsid w:val="00E2067E"/>
    <w:rsid w:val="00E20F50"/>
    <w:rsid w:val="00E20FF8"/>
    <w:rsid w:val="00E23A28"/>
    <w:rsid w:val="00E24484"/>
    <w:rsid w:val="00E2650B"/>
    <w:rsid w:val="00E26F00"/>
    <w:rsid w:val="00E27F20"/>
    <w:rsid w:val="00E30796"/>
    <w:rsid w:val="00E31A5E"/>
    <w:rsid w:val="00E32463"/>
    <w:rsid w:val="00E32794"/>
    <w:rsid w:val="00E32B24"/>
    <w:rsid w:val="00E32C29"/>
    <w:rsid w:val="00E342D3"/>
    <w:rsid w:val="00E345BA"/>
    <w:rsid w:val="00E3496D"/>
    <w:rsid w:val="00E35C63"/>
    <w:rsid w:val="00E36B2B"/>
    <w:rsid w:val="00E36F39"/>
    <w:rsid w:val="00E37912"/>
    <w:rsid w:val="00E4052A"/>
    <w:rsid w:val="00E4057D"/>
    <w:rsid w:val="00E405C5"/>
    <w:rsid w:val="00E408AE"/>
    <w:rsid w:val="00E40F03"/>
    <w:rsid w:val="00E41262"/>
    <w:rsid w:val="00E41303"/>
    <w:rsid w:val="00E41AF7"/>
    <w:rsid w:val="00E422E8"/>
    <w:rsid w:val="00E43BC1"/>
    <w:rsid w:val="00E43E01"/>
    <w:rsid w:val="00E464DA"/>
    <w:rsid w:val="00E46632"/>
    <w:rsid w:val="00E470E1"/>
    <w:rsid w:val="00E478AF"/>
    <w:rsid w:val="00E47BA7"/>
    <w:rsid w:val="00E51726"/>
    <w:rsid w:val="00E51C46"/>
    <w:rsid w:val="00E5316D"/>
    <w:rsid w:val="00E5367D"/>
    <w:rsid w:val="00E53DB9"/>
    <w:rsid w:val="00E540C1"/>
    <w:rsid w:val="00E547ED"/>
    <w:rsid w:val="00E54E11"/>
    <w:rsid w:val="00E54E3B"/>
    <w:rsid w:val="00E54E50"/>
    <w:rsid w:val="00E550CD"/>
    <w:rsid w:val="00E559F6"/>
    <w:rsid w:val="00E55C2E"/>
    <w:rsid w:val="00E55E42"/>
    <w:rsid w:val="00E55FAE"/>
    <w:rsid w:val="00E562BD"/>
    <w:rsid w:val="00E5664A"/>
    <w:rsid w:val="00E57CA2"/>
    <w:rsid w:val="00E57F1D"/>
    <w:rsid w:val="00E603A2"/>
    <w:rsid w:val="00E623CC"/>
    <w:rsid w:val="00E6274C"/>
    <w:rsid w:val="00E638F1"/>
    <w:rsid w:val="00E63E16"/>
    <w:rsid w:val="00E649ED"/>
    <w:rsid w:val="00E66A3A"/>
    <w:rsid w:val="00E67099"/>
    <w:rsid w:val="00E67CDD"/>
    <w:rsid w:val="00E67FCA"/>
    <w:rsid w:val="00E7018D"/>
    <w:rsid w:val="00E70197"/>
    <w:rsid w:val="00E703C8"/>
    <w:rsid w:val="00E71EA4"/>
    <w:rsid w:val="00E74E28"/>
    <w:rsid w:val="00E75C00"/>
    <w:rsid w:val="00E75C47"/>
    <w:rsid w:val="00E76683"/>
    <w:rsid w:val="00E771EA"/>
    <w:rsid w:val="00E77C3F"/>
    <w:rsid w:val="00E8124D"/>
    <w:rsid w:val="00E8219E"/>
    <w:rsid w:val="00E84208"/>
    <w:rsid w:val="00E84355"/>
    <w:rsid w:val="00E8602D"/>
    <w:rsid w:val="00E86C8A"/>
    <w:rsid w:val="00E87C30"/>
    <w:rsid w:val="00E87D98"/>
    <w:rsid w:val="00E9194B"/>
    <w:rsid w:val="00E91D57"/>
    <w:rsid w:val="00E926E6"/>
    <w:rsid w:val="00E927E7"/>
    <w:rsid w:val="00E92D52"/>
    <w:rsid w:val="00E930D7"/>
    <w:rsid w:val="00E933FA"/>
    <w:rsid w:val="00E934E5"/>
    <w:rsid w:val="00E93638"/>
    <w:rsid w:val="00E93B42"/>
    <w:rsid w:val="00E955B5"/>
    <w:rsid w:val="00E957D9"/>
    <w:rsid w:val="00E97693"/>
    <w:rsid w:val="00EA0628"/>
    <w:rsid w:val="00EA09F4"/>
    <w:rsid w:val="00EA0F35"/>
    <w:rsid w:val="00EA1C26"/>
    <w:rsid w:val="00EA3785"/>
    <w:rsid w:val="00EA3923"/>
    <w:rsid w:val="00EA3AAE"/>
    <w:rsid w:val="00EA3E4A"/>
    <w:rsid w:val="00EA3FAB"/>
    <w:rsid w:val="00EA4110"/>
    <w:rsid w:val="00EA465C"/>
    <w:rsid w:val="00EA5124"/>
    <w:rsid w:val="00EA6448"/>
    <w:rsid w:val="00EA6476"/>
    <w:rsid w:val="00EA68B2"/>
    <w:rsid w:val="00EA7D26"/>
    <w:rsid w:val="00EB00BE"/>
    <w:rsid w:val="00EB0348"/>
    <w:rsid w:val="00EB123D"/>
    <w:rsid w:val="00EB1D66"/>
    <w:rsid w:val="00EB3B1B"/>
    <w:rsid w:val="00EB3C48"/>
    <w:rsid w:val="00EB559F"/>
    <w:rsid w:val="00EB59DE"/>
    <w:rsid w:val="00EB5C8B"/>
    <w:rsid w:val="00EB5E62"/>
    <w:rsid w:val="00EB6111"/>
    <w:rsid w:val="00EB6825"/>
    <w:rsid w:val="00EB76B2"/>
    <w:rsid w:val="00EB7908"/>
    <w:rsid w:val="00EB7A23"/>
    <w:rsid w:val="00EC04F6"/>
    <w:rsid w:val="00EC24F3"/>
    <w:rsid w:val="00EC4BDD"/>
    <w:rsid w:val="00EC666E"/>
    <w:rsid w:val="00EC68C9"/>
    <w:rsid w:val="00ED1BBE"/>
    <w:rsid w:val="00ED1ECE"/>
    <w:rsid w:val="00ED22E7"/>
    <w:rsid w:val="00ED6D26"/>
    <w:rsid w:val="00EE00C5"/>
    <w:rsid w:val="00EE0512"/>
    <w:rsid w:val="00EE0535"/>
    <w:rsid w:val="00EE0C8D"/>
    <w:rsid w:val="00EE2396"/>
    <w:rsid w:val="00EE3039"/>
    <w:rsid w:val="00EE304D"/>
    <w:rsid w:val="00EE315D"/>
    <w:rsid w:val="00EE335D"/>
    <w:rsid w:val="00EE3738"/>
    <w:rsid w:val="00EE39A5"/>
    <w:rsid w:val="00EE3BB7"/>
    <w:rsid w:val="00EE4471"/>
    <w:rsid w:val="00EE4C56"/>
    <w:rsid w:val="00EE6E39"/>
    <w:rsid w:val="00EE74C9"/>
    <w:rsid w:val="00EF02D5"/>
    <w:rsid w:val="00EF06D1"/>
    <w:rsid w:val="00EF1937"/>
    <w:rsid w:val="00EF2018"/>
    <w:rsid w:val="00EF3480"/>
    <w:rsid w:val="00EF3893"/>
    <w:rsid w:val="00EF3CBF"/>
    <w:rsid w:val="00EF420A"/>
    <w:rsid w:val="00EF47F3"/>
    <w:rsid w:val="00EF4AC4"/>
    <w:rsid w:val="00EF5D79"/>
    <w:rsid w:val="00EF6B8E"/>
    <w:rsid w:val="00EF7463"/>
    <w:rsid w:val="00EF7726"/>
    <w:rsid w:val="00EF7D98"/>
    <w:rsid w:val="00F00819"/>
    <w:rsid w:val="00F00A3E"/>
    <w:rsid w:val="00F013F2"/>
    <w:rsid w:val="00F01A18"/>
    <w:rsid w:val="00F02657"/>
    <w:rsid w:val="00F02A10"/>
    <w:rsid w:val="00F03718"/>
    <w:rsid w:val="00F03960"/>
    <w:rsid w:val="00F04684"/>
    <w:rsid w:val="00F07BF3"/>
    <w:rsid w:val="00F10035"/>
    <w:rsid w:val="00F10E28"/>
    <w:rsid w:val="00F111F5"/>
    <w:rsid w:val="00F12F12"/>
    <w:rsid w:val="00F1414D"/>
    <w:rsid w:val="00F146AA"/>
    <w:rsid w:val="00F15C1C"/>
    <w:rsid w:val="00F1682B"/>
    <w:rsid w:val="00F17CD9"/>
    <w:rsid w:val="00F21012"/>
    <w:rsid w:val="00F2183B"/>
    <w:rsid w:val="00F232EA"/>
    <w:rsid w:val="00F234CD"/>
    <w:rsid w:val="00F238CC"/>
    <w:rsid w:val="00F23AA7"/>
    <w:rsid w:val="00F24CC5"/>
    <w:rsid w:val="00F24E32"/>
    <w:rsid w:val="00F25301"/>
    <w:rsid w:val="00F262D0"/>
    <w:rsid w:val="00F266C8"/>
    <w:rsid w:val="00F311F1"/>
    <w:rsid w:val="00F34148"/>
    <w:rsid w:val="00F34CEB"/>
    <w:rsid w:val="00F35A7B"/>
    <w:rsid w:val="00F37D35"/>
    <w:rsid w:val="00F37D8D"/>
    <w:rsid w:val="00F40425"/>
    <w:rsid w:val="00F40BB4"/>
    <w:rsid w:val="00F41995"/>
    <w:rsid w:val="00F43298"/>
    <w:rsid w:val="00F437AE"/>
    <w:rsid w:val="00F441F7"/>
    <w:rsid w:val="00F44E0B"/>
    <w:rsid w:val="00F45467"/>
    <w:rsid w:val="00F45BCA"/>
    <w:rsid w:val="00F45D81"/>
    <w:rsid w:val="00F45F86"/>
    <w:rsid w:val="00F4665B"/>
    <w:rsid w:val="00F466D5"/>
    <w:rsid w:val="00F47625"/>
    <w:rsid w:val="00F523AC"/>
    <w:rsid w:val="00F53225"/>
    <w:rsid w:val="00F532AD"/>
    <w:rsid w:val="00F5485E"/>
    <w:rsid w:val="00F54A8F"/>
    <w:rsid w:val="00F54D0B"/>
    <w:rsid w:val="00F55948"/>
    <w:rsid w:val="00F5643C"/>
    <w:rsid w:val="00F566BA"/>
    <w:rsid w:val="00F57751"/>
    <w:rsid w:val="00F60BC7"/>
    <w:rsid w:val="00F6267E"/>
    <w:rsid w:val="00F62841"/>
    <w:rsid w:val="00F62EB9"/>
    <w:rsid w:val="00F66317"/>
    <w:rsid w:val="00F67511"/>
    <w:rsid w:val="00F67D21"/>
    <w:rsid w:val="00F70110"/>
    <w:rsid w:val="00F7026C"/>
    <w:rsid w:val="00F708E0"/>
    <w:rsid w:val="00F70D7A"/>
    <w:rsid w:val="00F7159F"/>
    <w:rsid w:val="00F7199D"/>
    <w:rsid w:val="00F72A80"/>
    <w:rsid w:val="00F73C70"/>
    <w:rsid w:val="00F7420F"/>
    <w:rsid w:val="00F743CB"/>
    <w:rsid w:val="00F75339"/>
    <w:rsid w:val="00F75E1C"/>
    <w:rsid w:val="00F76C80"/>
    <w:rsid w:val="00F77D01"/>
    <w:rsid w:val="00F8275D"/>
    <w:rsid w:val="00F83555"/>
    <w:rsid w:val="00F83DF6"/>
    <w:rsid w:val="00F84388"/>
    <w:rsid w:val="00F84470"/>
    <w:rsid w:val="00F85E79"/>
    <w:rsid w:val="00F867D4"/>
    <w:rsid w:val="00F8770F"/>
    <w:rsid w:val="00F90CEA"/>
    <w:rsid w:val="00F90D1A"/>
    <w:rsid w:val="00F92657"/>
    <w:rsid w:val="00F92B1D"/>
    <w:rsid w:val="00F95B0E"/>
    <w:rsid w:val="00F968C9"/>
    <w:rsid w:val="00F973C1"/>
    <w:rsid w:val="00F97613"/>
    <w:rsid w:val="00FA0C3A"/>
    <w:rsid w:val="00FA159F"/>
    <w:rsid w:val="00FA264F"/>
    <w:rsid w:val="00FA36D1"/>
    <w:rsid w:val="00FA4C4D"/>
    <w:rsid w:val="00FA5929"/>
    <w:rsid w:val="00FA5E38"/>
    <w:rsid w:val="00FA5E97"/>
    <w:rsid w:val="00FA69C9"/>
    <w:rsid w:val="00FA6AC1"/>
    <w:rsid w:val="00FA7517"/>
    <w:rsid w:val="00FA7E31"/>
    <w:rsid w:val="00FB0362"/>
    <w:rsid w:val="00FB2070"/>
    <w:rsid w:val="00FB5F83"/>
    <w:rsid w:val="00FB73F9"/>
    <w:rsid w:val="00FB7E7B"/>
    <w:rsid w:val="00FC0CF8"/>
    <w:rsid w:val="00FC0DAB"/>
    <w:rsid w:val="00FC1480"/>
    <w:rsid w:val="00FC1B8B"/>
    <w:rsid w:val="00FC328F"/>
    <w:rsid w:val="00FC3364"/>
    <w:rsid w:val="00FC4428"/>
    <w:rsid w:val="00FC58D9"/>
    <w:rsid w:val="00FC645B"/>
    <w:rsid w:val="00FC79A0"/>
    <w:rsid w:val="00FD0707"/>
    <w:rsid w:val="00FD1BFF"/>
    <w:rsid w:val="00FD24DF"/>
    <w:rsid w:val="00FD3091"/>
    <w:rsid w:val="00FD54BE"/>
    <w:rsid w:val="00FD5583"/>
    <w:rsid w:val="00FD5B62"/>
    <w:rsid w:val="00FD5C10"/>
    <w:rsid w:val="00FD67C2"/>
    <w:rsid w:val="00FD682A"/>
    <w:rsid w:val="00FD7F09"/>
    <w:rsid w:val="00FE0058"/>
    <w:rsid w:val="00FE047E"/>
    <w:rsid w:val="00FE0CE0"/>
    <w:rsid w:val="00FE120F"/>
    <w:rsid w:val="00FE20EB"/>
    <w:rsid w:val="00FE211F"/>
    <w:rsid w:val="00FE22C8"/>
    <w:rsid w:val="00FE23D5"/>
    <w:rsid w:val="00FE2449"/>
    <w:rsid w:val="00FE24AB"/>
    <w:rsid w:val="00FE27E8"/>
    <w:rsid w:val="00FE2B6A"/>
    <w:rsid w:val="00FE35BB"/>
    <w:rsid w:val="00FE3F05"/>
    <w:rsid w:val="00FE4B60"/>
    <w:rsid w:val="00FE60AA"/>
    <w:rsid w:val="00FE6FE4"/>
    <w:rsid w:val="00FE7529"/>
    <w:rsid w:val="00FE7791"/>
    <w:rsid w:val="00FE797A"/>
    <w:rsid w:val="00FE7E09"/>
    <w:rsid w:val="00FE7FB2"/>
    <w:rsid w:val="00FF041A"/>
    <w:rsid w:val="00FF102B"/>
    <w:rsid w:val="00FF17B8"/>
    <w:rsid w:val="00FF3296"/>
    <w:rsid w:val="00FF45E1"/>
    <w:rsid w:val="00FF4726"/>
    <w:rsid w:val="00FF4A4F"/>
    <w:rsid w:val="00FF643D"/>
    <w:rsid w:val="00FF65EA"/>
    <w:rsid w:val="00FF6D44"/>
    <w:rsid w:val="00FF779B"/>
    <w:rsid w:val="00FF7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State"/>
  <w:smartTagType w:namespaceuri="urn:schemas-microsoft-com:office:smarttags" w:name="PostalCode"/>
  <w:shapeDefaults>
    <o:shapedefaults v:ext="edit" spidmax="118785"/>
    <o:shapelayout v:ext="edit">
      <o:idmap v:ext="edit" data="1"/>
    </o:shapelayout>
  </w:shapeDefaults>
  <w:decimalSymbol w:val="."/>
  <w:listSeparator w:val=","/>
  <w14:docId w14:val="0B655AB9"/>
  <w15:docId w15:val="{D2184356-0FA9-4D94-A065-7E5DF9978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365"/>
    <w:rPr>
      <w:rFonts w:ascii="Calibri" w:hAnsi="Calibri"/>
      <w:sz w:val="24"/>
      <w:szCs w:val="24"/>
    </w:rPr>
  </w:style>
  <w:style w:type="paragraph" w:styleId="Heading1">
    <w:name w:val="heading 1"/>
    <w:basedOn w:val="Normal"/>
    <w:next w:val="Normal"/>
    <w:link w:val="Heading1Char"/>
    <w:qFormat/>
    <w:rsid w:val="00411FC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1"/>
    <w:qFormat/>
    <w:rsid w:val="00411FC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1"/>
    <w:qFormat/>
    <w:rsid w:val="00411FC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025E"/>
    <w:rPr>
      <w:rFonts w:ascii="Arial" w:hAnsi="Arial" w:cs="Arial"/>
      <w:b/>
      <w:bCs/>
      <w:kern w:val="32"/>
      <w:sz w:val="32"/>
      <w:szCs w:val="32"/>
      <w:lang w:val="en-US" w:eastAsia="en-US" w:bidi="ar-SA"/>
    </w:rPr>
  </w:style>
  <w:style w:type="character" w:customStyle="1" w:styleId="Heading2Char1">
    <w:name w:val="Heading 2 Char1"/>
    <w:link w:val="Heading2"/>
    <w:locked/>
    <w:rsid w:val="00283592"/>
    <w:rPr>
      <w:rFonts w:ascii="Arial" w:hAnsi="Arial" w:cs="Arial"/>
      <w:b/>
      <w:bCs/>
      <w:i/>
      <w:iCs/>
      <w:sz w:val="28"/>
      <w:szCs w:val="28"/>
      <w:lang w:val="en-US" w:eastAsia="en-US" w:bidi="ar-SA"/>
    </w:rPr>
  </w:style>
  <w:style w:type="character" w:customStyle="1" w:styleId="Heading3Char1">
    <w:name w:val="Heading 3 Char1"/>
    <w:link w:val="Heading3"/>
    <w:locked/>
    <w:rsid w:val="00411FC1"/>
    <w:rPr>
      <w:rFonts w:ascii="Arial" w:hAnsi="Arial" w:cs="Arial"/>
      <w:b/>
      <w:bCs/>
      <w:sz w:val="26"/>
      <w:szCs w:val="26"/>
      <w:lang w:val="en-US" w:eastAsia="en-US" w:bidi="ar-SA"/>
    </w:rPr>
  </w:style>
  <w:style w:type="paragraph" w:styleId="Footer">
    <w:name w:val="footer"/>
    <w:basedOn w:val="Normal"/>
    <w:rsid w:val="007F2912"/>
    <w:pPr>
      <w:tabs>
        <w:tab w:val="center" w:pos="4320"/>
        <w:tab w:val="right" w:pos="8640"/>
      </w:tabs>
    </w:pPr>
  </w:style>
  <w:style w:type="character" w:styleId="PageNumber">
    <w:name w:val="page number"/>
    <w:rsid w:val="007F2912"/>
    <w:rPr>
      <w:rFonts w:cs="Times New Roman"/>
    </w:rPr>
  </w:style>
  <w:style w:type="paragraph" w:styleId="FootnoteText">
    <w:name w:val="footnote text"/>
    <w:aliases w:val="Footnote Text1 Char,Footnote Text Char Ch"/>
    <w:basedOn w:val="Normal"/>
    <w:link w:val="FootnoteTextChar1"/>
    <w:rsid w:val="0094538D"/>
    <w:rPr>
      <w:rFonts w:ascii="Times New Roman" w:hAnsi="Times New Roman"/>
      <w:sz w:val="20"/>
      <w:szCs w:val="20"/>
    </w:rPr>
  </w:style>
  <w:style w:type="character" w:customStyle="1" w:styleId="FootnoteTextChar1">
    <w:name w:val="Footnote Text Char1"/>
    <w:aliases w:val="Footnote Text1 Char Char,Footnote Text Char Ch Char"/>
    <w:link w:val="FootnoteText"/>
    <w:locked/>
    <w:rsid w:val="008A3E42"/>
    <w:rPr>
      <w:rFonts w:cs="Times New Roman"/>
      <w:lang w:val="en-US" w:eastAsia="en-US" w:bidi="ar-SA"/>
    </w:rPr>
  </w:style>
  <w:style w:type="character" w:styleId="FootnoteReference">
    <w:name w:val="footnote reference"/>
    <w:aliases w:val="o"/>
    <w:rsid w:val="0094538D"/>
    <w:rPr>
      <w:rFonts w:cs="Times New Roman"/>
      <w:vertAlign w:val="superscript"/>
    </w:rPr>
  </w:style>
  <w:style w:type="paragraph" w:styleId="Header">
    <w:name w:val="header"/>
    <w:basedOn w:val="Normal"/>
    <w:rsid w:val="00484164"/>
    <w:pPr>
      <w:tabs>
        <w:tab w:val="center" w:pos="4320"/>
        <w:tab w:val="right" w:pos="8640"/>
      </w:tabs>
    </w:pPr>
  </w:style>
  <w:style w:type="paragraph" w:styleId="TOC1">
    <w:name w:val="toc 1"/>
    <w:basedOn w:val="Normal"/>
    <w:next w:val="Normal"/>
    <w:autoRedefine/>
    <w:uiPriority w:val="39"/>
    <w:rsid w:val="009D1511"/>
    <w:pPr>
      <w:tabs>
        <w:tab w:val="right" w:leader="dot" w:pos="8630"/>
      </w:tabs>
      <w:jc w:val="center"/>
    </w:pPr>
    <w:rPr>
      <w:b/>
    </w:rPr>
  </w:style>
  <w:style w:type="paragraph" w:styleId="TOC2">
    <w:name w:val="toc 2"/>
    <w:basedOn w:val="Normal"/>
    <w:next w:val="Normal"/>
    <w:autoRedefine/>
    <w:uiPriority w:val="39"/>
    <w:rsid w:val="000B5A5D"/>
    <w:pPr>
      <w:ind w:left="240"/>
    </w:pPr>
  </w:style>
  <w:style w:type="paragraph" w:styleId="TOC3">
    <w:name w:val="toc 3"/>
    <w:basedOn w:val="Normal"/>
    <w:next w:val="Normal"/>
    <w:autoRedefine/>
    <w:uiPriority w:val="39"/>
    <w:rsid w:val="000B35D6"/>
    <w:pPr>
      <w:tabs>
        <w:tab w:val="right" w:leader="dot" w:pos="8630"/>
      </w:tabs>
      <w:ind w:left="720"/>
    </w:pPr>
  </w:style>
  <w:style w:type="character" w:styleId="Hyperlink">
    <w:name w:val="Hyperlink"/>
    <w:uiPriority w:val="99"/>
    <w:rsid w:val="000B5A5D"/>
    <w:rPr>
      <w:rFonts w:cs="Times New Roman"/>
      <w:color w:val="0000FF"/>
      <w:u w:val="single"/>
    </w:rPr>
  </w:style>
  <w:style w:type="paragraph" w:styleId="Caption">
    <w:name w:val="caption"/>
    <w:basedOn w:val="Normal"/>
    <w:next w:val="Normal"/>
    <w:link w:val="CaptionChar"/>
    <w:qFormat/>
    <w:rsid w:val="006169CA"/>
    <w:rPr>
      <w:rFonts w:ascii="Times New Roman" w:hAnsi="Times New Roman"/>
      <w:b/>
      <w:bCs/>
      <w:sz w:val="20"/>
      <w:szCs w:val="20"/>
    </w:rPr>
  </w:style>
  <w:style w:type="character" w:customStyle="1" w:styleId="CaptionChar">
    <w:name w:val="Caption Char"/>
    <w:link w:val="Caption"/>
    <w:locked/>
    <w:rsid w:val="00283592"/>
    <w:rPr>
      <w:rFonts w:cs="Times New Roman"/>
      <w:b/>
      <w:bCs/>
      <w:lang w:val="en-US" w:eastAsia="en-US" w:bidi="ar-SA"/>
    </w:rPr>
  </w:style>
  <w:style w:type="paragraph" w:styleId="TableofFigures">
    <w:name w:val="table of figures"/>
    <w:basedOn w:val="Normal"/>
    <w:next w:val="Normal"/>
    <w:uiPriority w:val="99"/>
    <w:rsid w:val="006169CA"/>
  </w:style>
  <w:style w:type="paragraph" w:customStyle="1" w:styleId="TableCaption">
    <w:name w:val="Table Caption"/>
    <w:basedOn w:val="Caption"/>
    <w:link w:val="TableCaptionChar"/>
    <w:qFormat/>
    <w:rsid w:val="00477222"/>
    <w:pPr>
      <w:spacing w:after="120"/>
      <w:jc w:val="center"/>
    </w:pPr>
    <w:rPr>
      <w:rFonts w:ascii="Calibri" w:hAnsi="Calibri"/>
      <w:sz w:val="24"/>
    </w:rPr>
  </w:style>
  <w:style w:type="character" w:customStyle="1" w:styleId="TableCaptionChar">
    <w:name w:val="Table Caption Char"/>
    <w:link w:val="TableCaption"/>
    <w:locked/>
    <w:rsid w:val="00477222"/>
    <w:rPr>
      <w:rFonts w:ascii="Calibri" w:hAnsi="Calibri"/>
      <w:b/>
      <w:bCs/>
      <w:sz w:val="24"/>
    </w:rPr>
  </w:style>
  <w:style w:type="paragraph" w:customStyle="1" w:styleId="FigureCaption">
    <w:name w:val="Figure Caption"/>
    <w:basedOn w:val="TableCaption"/>
    <w:link w:val="FigureCaptionChar"/>
    <w:qFormat/>
    <w:rsid w:val="0097115E"/>
  </w:style>
  <w:style w:type="character" w:customStyle="1" w:styleId="FigureCaptionChar">
    <w:name w:val="Figure Caption Char"/>
    <w:link w:val="FigureCaption"/>
    <w:locked/>
    <w:rsid w:val="0097115E"/>
    <w:rPr>
      <w:rFonts w:ascii="Calibri" w:hAnsi="Calibri"/>
      <w:b/>
      <w:bCs/>
      <w:sz w:val="24"/>
    </w:rPr>
  </w:style>
  <w:style w:type="paragraph" w:customStyle="1" w:styleId="EPRITitle">
    <w:name w:val="EPRI Title"/>
    <w:rsid w:val="00111FB1"/>
    <w:pPr>
      <w:spacing w:before="240" w:after="60"/>
      <w:ind w:left="1195" w:right="1195"/>
    </w:pPr>
    <w:rPr>
      <w:rFonts w:ascii="Helvetica" w:hAnsi="Helvetica"/>
      <w:b/>
      <w:sz w:val="40"/>
    </w:rPr>
  </w:style>
  <w:style w:type="paragraph" w:customStyle="1" w:styleId="EPRISubtitle">
    <w:name w:val="EPRI Subtitle"/>
    <w:rsid w:val="00111FB1"/>
    <w:pPr>
      <w:spacing w:after="60"/>
      <w:ind w:left="1195" w:right="1195"/>
    </w:pPr>
    <w:rPr>
      <w:rFonts w:ascii="Helvetica" w:hAnsi="Helvetica"/>
      <w:noProof/>
      <w:sz w:val="30"/>
    </w:rPr>
  </w:style>
  <w:style w:type="paragraph" w:customStyle="1" w:styleId="EPRIOI">
    <w:name w:val="EPRI OI#"/>
    <w:rsid w:val="00111FB1"/>
    <w:pPr>
      <w:spacing w:before="140" w:after="480"/>
      <w:ind w:left="1195" w:right="1195"/>
    </w:pPr>
    <w:rPr>
      <w:rFonts w:ascii="Helvetica" w:hAnsi="Helvetica"/>
      <w:b/>
      <w:sz w:val="24"/>
    </w:rPr>
  </w:style>
  <w:style w:type="paragraph" w:customStyle="1" w:styleId="EPRITitleText">
    <w:name w:val="EPRI Title Text"/>
    <w:rsid w:val="00111FB1"/>
    <w:pPr>
      <w:spacing w:before="140" w:after="1200"/>
      <w:ind w:left="1195" w:right="1195"/>
    </w:pPr>
    <w:rPr>
      <w:rFonts w:ascii="Helvetica" w:hAnsi="Helvetica"/>
      <w:sz w:val="24"/>
    </w:rPr>
  </w:style>
  <w:style w:type="paragraph" w:styleId="BalloonText">
    <w:name w:val="Balloon Text"/>
    <w:basedOn w:val="Normal"/>
    <w:semiHidden/>
    <w:rsid w:val="004F6104"/>
    <w:rPr>
      <w:rFonts w:ascii="Tahoma" w:hAnsi="Tahoma" w:cs="Tahoma"/>
      <w:sz w:val="16"/>
      <w:szCs w:val="16"/>
    </w:rPr>
  </w:style>
  <w:style w:type="table" w:styleId="TableGrid">
    <w:name w:val="Table Grid"/>
    <w:basedOn w:val="TableNormal"/>
    <w:rsid w:val="002E3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283592"/>
    <w:rPr>
      <w:rFonts w:ascii="Arial" w:hAnsi="Arial" w:cs="Arial"/>
      <w:b/>
      <w:bCs/>
      <w:sz w:val="26"/>
      <w:szCs w:val="26"/>
      <w:lang w:val="en-US" w:eastAsia="en-US" w:bidi="ar-SA"/>
    </w:rPr>
  </w:style>
  <w:style w:type="character" w:styleId="CommentReference">
    <w:name w:val="annotation reference"/>
    <w:rsid w:val="00A8020B"/>
    <w:rPr>
      <w:rFonts w:cs="Times New Roman"/>
      <w:sz w:val="16"/>
      <w:szCs w:val="16"/>
    </w:rPr>
  </w:style>
  <w:style w:type="paragraph" w:styleId="CommentText">
    <w:name w:val="annotation text"/>
    <w:basedOn w:val="Normal"/>
    <w:link w:val="CommentTextChar"/>
    <w:rsid w:val="00A8020B"/>
    <w:rPr>
      <w:rFonts w:ascii="Times New Roman" w:hAnsi="Times New Roman"/>
      <w:sz w:val="20"/>
      <w:szCs w:val="20"/>
      <w:lang w:val="x-none" w:eastAsia="x-none"/>
    </w:rPr>
  </w:style>
  <w:style w:type="character" w:customStyle="1" w:styleId="CommentTextChar">
    <w:name w:val="Comment Text Char"/>
    <w:link w:val="CommentText"/>
    <w:locked/>
    <w:rsid w:val="00A8020B"/>
    <w:rPr>
      <w:rFonts w:cs="Times New Roman"/>
    </w:rPr>
  </w:style>
  <w:style w:type="paragraph" w:styleId="CommentSubject">
    <w:name w:val="annotation subject"/>
    <w:basedOn w:val="CommentText"/>
    <w:next w:val="CommentText"/>
    <w:link w:val="CommentSubjectChar"/>
    <w:rsid w:val="00A8020B"/>
    <w:rPr>
      <w:b/>
      <w:bCs/>
    </w:rPr>
  </w:style>
  <w:style w:type="character" w:customStyle="1" w:styleId="CommentSubjectChar">
    <w:name w:val="Comment Subject Char"/>
    <w:link w:val="CommentSubject"/>
    <w:locked/>
    <w:rsid w:val="00A8020B"/>
    <w:rPr>
      <w:rFonts w:cs="Times New Roman"/>
      <w:b/>
      <w:bCs/>
    </w:rPr>
  </w:style>
  <w:style w:type="paragraph" w:styleId="EndnoteText">
    <w:name w:val="endnote text"/>
    <w:basedOn w:val="Normal"/>
    <w:link w:val="EndnoteTextChar"/>
    <w:rsid w:val="00363778"/>
    <w:rPr>
      <w:rFonts w:ascii="Times New Roman" w:hAnsi="Times New Roman"/>
      <w:sz w:val="20"/>
      <w:szCs w:val="20"/>
      <w:lang w:val="x-none" w:eastAsia="x-none"/>
    </w:rPr>
  </w:style>
  <w:style w:type="character" w:customStyle="1" w:styleId="EndnoteTextChar">
    <w:name w:val="Endnote Text Char"/>
    <w:link w:val="EndnoteText"/>
    <w:locked/>
    <w:rsid w:val="00363778"/>
    <w:rPr>
      <w:rFonts w:cs="Times New Roman"/>
    </w:rPr>
  </w:style>
  <w:style w:type="character" w:styleId="EndnoteReference">
    <w:name w:val="endnote reference"/>
    <w:rsid w:val="00363778"/>
    <w:rPr>
      <w:rFonts w:cs="Times New Roman"/>
      <w:vertAlign w:val="superscript"/>
    </w:rPr>
  </w:style>
  <w:style w:type="character" w:styleId="FollowedHyperlink">
    <w:name w:val="FollowedHyperlink"/>
    <w:rsid w:val="002F7583"/>
    <w:rPr>
      <w:color w:val="800080"/>
      <w:u w:val="single"/>
    </w:rPr>
  </w:style>
  <w:style w:type="character" w:customStyle="1" w:styleId="FootnoteTextChar">
    <w:name w:val="Footnote Text Char"/>
    <w:aliases w:val="Footnote Text1 Char Char1,Footnote Text Char Ch Char1"/>
    <w:uiPriority w:val="99"/>
    <w:rsid w:val="00002343"/>
    <w:rPr>
      <w:lang w:val="en-US" w:eastAsia="en-US" w:bidi="ar-SA"/>
    </w:rPr>
  </w:style>
  <w:style w:type="character" w:customStyle="1" w:styleId="Heading2Char">
    <w:name w:val="Heading 2 Char"/>
    <w:rsid w:val="00C54C5F"/>
    <w:rPr>
      <w:rFonts w:ascii="Arial" w:hAnsi="Arial" w:cs="Arial"/>
      <w:b/>
      <w:bCs/>
      <w:i/>
      <w:iCs/>
      <w:sz w:val="24"/>
      <w:szCs w:val="28"/>
      <w:lang w:val="en-US" w:eastAsia="en-US" w:bidi="ar-SA"/>
    </w:rPr>
  </w:style>
  <w:style w:type="paragraph" w:styleId="DocumentMap">
    <w:name w:val="Document Map"/>
    <w:basedOn w:val="Normal"/>
    <w:semiHidden/>
    <w:rsid w:val="000E553B"/>
    <w:pPr>
      <w:shd w:val="clear" w:color="auto" w:fill="000080"/>
    </w:pPr>
    <w:rPr>
      <w:rFonts w:ascii="Tahoma" w:hAnsi="Tahoma" w:cs="Tahoma"/>
      <w:sz w:val="20"/>
      <w:szCs w:val="20"/>
    </w:rPr>
  </w:style>
  <w:style w:type="paragraph" w:styleId="NormalWeb">
    <w:name w:val="Normal (Web)"/>
    <w:basedOn w:val="Normal"/>
    <w:uiPriority w:val="99"/>
    <w:unhideWhenUsed/>
    <w:rsid w:val="00530476"/>
    <w:pPr>
      <w:spacing w:before="100" w:beforeAutospacing="1" w:after="100" w:afterAutospacing="1"/>
    </w:pPr>
    <w:rPr>
      <w:rFonts w:ascii="Times New Roman" w:hAnsi="Times New Roman"/>
    </w:rPr>
  </w:style>
  <w:style w:type="paragraph" w:customStyle="1" w:styleId="TableHeader">
    <w:name w:val="Table Header"/>
    <w:qFormat/>
    <w:rsid w:val="008E5D4C"/>
    <w:pPr>
      <w:spacing w:before="100" w:after="100"/>
      <w:jc w:val="center"/>
    </w:pPr>
    <w:rPr>
      <w:rFonts w:ascii="Arial" w:eastAsia="Calibri" w:hAnsi="Arial"/>
      <w:b/>
      <w:color w:val="FFFFFF"/>
      <w:szCs w:val="22"/>
    </w:rPr>
  </w:style>
  <w:style w:type="paragraph" w:customStyle="1" w:styleId="TableText">
    <w:name w:val="Table Text"/>
    <w:qFormat/>
    <w:rsid w:val="008E5D4C"/>
    <w:pPr>
      <w:spacing w:before="60" w:after="60"/>
      <w:jc w:val="center"/>
    </w:pPr>
    <w:rPr>
      <w:rFonts w:ascii="Arial" w:eastAsia="Calibri" w:hAnsi="Arial"/>
      <w:sz w:val="18"/>
      <w:szCs w:val="22"/>
    </w:rPr>
  </w:style>
  <w:style w:type="paragraph" w:styleId="ListParagraph">
    <w:name w:val="List Paragraph"/>
    <w:basedOn w:val="Normal"/>
    <w:uiPriority w:val="34"/>
    <w:qFormat/>
    <w:rsid w:val="00305D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5835024">
      <w:bodyDiv w:val="1"/>
      <w:marLeft w:val="0"/>
      <w:marRight w:val="0"/>
      <w:marTop w:val="0"/>
      <w:marBottom w:val="0"/>
      <w:divBdr>
        <w:top w:val="none" w:sz="0" w:space="0" w:color="auto"/>
        <w:left w:val="none" w:sz="0" w:space="0" w:color="auto"/>
        <w:bottom w:val="none" w:sz="0" w:space="0" w:color="auto"/>
        <w:right w:val="none" w:sz="0" w:space="0" w:color="auto"/>
      </w:divBdr>
    </w:div>
    <w:div w:id="107511727">
      <w:bodyDiv w:val="1"/>
      <w:marLeft w:val="0"/>
      <w:marRight w:val="0"/>
      <w:marTop w:val="0"/>
      <w:marBottom w:val="0"/>
      <w:divBdr>
        <w:top w:val="none" w:sz="0" w:space="0" w:color="auto"/>
        <w:left w:val="none" w:sz="0" w:space="0" w:color="auto"/>
        <w:bottom w:val="none" w:sz="0" w:space="0" w:color="auto"/>
        <w:right w:val="none" w:sz="0" w:space="0" w:color="auto"/>
      </w:divBdr>
    </w:div>
    <w:div w:id="179901336">
      <w:bodyDiv w:val="1"/>
      <w:marLeft w:val="0"/>
      <w:marRight w:val="0"/>
      <w:marTop w:val="0"/>
      <w:marBottom w:val="0"/>
      <w:divBdr>
        <w:top w:val="none" w:sz="0" w:space="0" w:color="auto"/>
        <w:left w:val="none" w:sz="0" w:space="0" w:color="auto"/>
        <w:bottom w:val="none" w:sz="0" w:space="0" w:color="auto"/>
        <w:right w:val="none" w:sz="0" w:space="0" w:color="auto"/>
      </w:divBdr>
    </w:div>
    <w:div w:id="253638167">
      <w:bodyDiv w:val="1"/>
      <w:marLeft w:val="0"/>
      <w:marRight w:val="0"/>
      <w:marTop w:val="0"/>
      <w:marBottom w:val="0"/>
      <w:divBdr>
        <w:top w:val="none" w:sz="0" w:space="0" w:color="auto"/>
        <w:left w:val="none" w:sz="0" w:space="0" w:color="auto"/>
        <w:bottom w:val="none" w:sz="0" w:space="0" w:color="auto"/>
        <w:right w:val="none" w:sz="0" w:space="0" w:color="auto"/>
      </w:divBdr>
    </w:div>
    <w:div w:id="335496358">
      <w:bodyDiv w:val="1"/>
      <w:marLeft w:val="0"/>
      <w:marRight w:val="0"/>
      <w:marTop w:val="0"/>
      <w:marBottom w:val="0"/>
      <w:divBdr>
        <w:top w:val="none" w:sz="0" w:space="0" w:color="auto"/>
        <w:left w:val="none" w:sz="0" w:space="0" w:color="auto"/>
        <w:bottom w:val="none" w:sz="0" w:space="0" w:color="auto"/>
        <w:right w:val="none" w:sz="0" w:space="0" w:color="auto"/>
      </w:divBdr>
    </w:div>
    <w:div w:id="376509589">
      <w:bodyDiv w:val="1"/>
      <w:marLeft w:val="0"/>
      <w:marRight w:val="0"/>
      <w:marTop w:val="0"/>
      <w:marBottom w:val="0"/>
      <w:divBdr>
        <w:top w:val="none" w:sz="0" w:space="0" w:color="auto"/>
        <w:left w:val="none" w:sz="0" w:space="0" w:color="auto"/>
        <w:bottom w:val="none" w:sz="0" w:space="0" w:color="auto"/>
        <w:right w:val="none" w:sz="0" w:space="0" w:color="auto"/>
      </w:divBdr>
    </w:div>
    <w:div w:id="463742627">
      <w:bodyDiv w:val="1"/>
      <w:marLeft w:val="0"/>
      <w:marRight w:val="0"/>
      <w:marTop w:val="0"/>
      <w:marBottom w:val="0"/>
      <w:divBdr>
        <w:top w:val="none" w:sz="0" w:space="0" w:color="auto"/>
        <w:left w:val="none" w:sz="0" w:space="0" w:color="auto"/>
        <w:bottom w:val="none" w:sz="0" w:space="0" w:color="auto"/>
        <w:right w:val="none" w:sz="0" w:space="0" w:color="auto"/>
      </w:divBdr>
    </w:div>
    <w:div w:id="624581929">
      <w:bodyDiv w:val="1"/>
      <w:marLeft w:val="0"/>
      <w:marRight w:val="0"/>
      <w:marTop w:val="0"/>
      <w:marBottom w:val="0"/>
      <w:divBdr>
        <w:top w:val="none" w:sz="0" w:space="0" w:color="auto"/>
        <w:left w:val="none" w:sz="0" w:space="0" w:color="auto"/>
        <w:bottom w:val="none" w:sz="0" w:space="0" w:color="auto"/>
        <w:right w:val="none" w:sz="0" w:space="0" w:color="auto"/>
      </w:divBdr>
    </w:div>
    <w:div w:id="805855984">
      <w:bodyDiv w:val="1"/>
      <w:marLeft w:val="0"/>
      <w:marRight w:val="0"/>
      <w:marTop w:val="0"/>
      <w:marBottom w:val="0"/>
      <w:divBdr>
        <w:top w:val="none" w:sz="0" w:space="0" w:color="auto"/>
        <w:left w:val="none" w:sz="0" w:space="0" w:color="auto"/>
        <w:bottom w:val="none" w:sz="0" w:space="0" w:color="auto"/>
        <w:right w:val="none" w:sz="0" w:space="0" w:color="auto"/>
      </w:divBdr>
    </w:div>
    <w:div w:id="1324700922">
      <w:bodyDiv w:val="1"/>
      <w:marLeft w:val="0"/>
      <w:marRight w:val="0"/>
      <w:marTop w:val="0"/>
      <w:marBottom w:val="0"/>
      <w:divBdr>
        <w:top w:val="none" w:sz="0" w:space="0" w:color="auto"/>
        <w:left w:val="none" w:sz="0" w:space="0" w:color="auto"/>
        <w:bottom w:val="none" w:sz="0" w:space="0" w:color="auto"/>
        <w:right w:val="none" w:sz="0" w:space="0" w:color="auto"/>
      </w:divBdr>
    </w:div>
    <w:div w:id="1676298165">
      <w:bodyDiv w:val="1"/>
      <w:marLeft w:val="0"/>
      <w:marRight w:val="0"/>
      <w:marTop w:val="0"/>
      <w:marBottom w:val="0"/>
      <w:divBdr>
        <w:top w:val="none" w:sz="0" w:space="0" w:color="auto"/>
        <w:left w:val="none" w:sz="0" w:space="0" w:color="auto"/>
        <w:bottom w:val="none" w:sz="0" w:space="0" w:color="auto"/>
        <w:right w:val="none" w:sz="0" w:space="0" w:color="auto"/>
      </w:divBdr>
    </w:div>
    <w:div w:id="1762944512">
      <w:bodyDiv w:val="1"/>
      <w:marLeft w:val="0"/>
      <w:marRight w:val="0"/>
      <w:marTop w:val="0"/>
      <w:marBottom w:val="0"/>
      <w:divBdr>
        <w:top w:val="none" w:sz="0" w:space="0" w:color="auto"/>
        <w:left w:val="none" w:sz="0" w:space="0" w:color="auto"/>
        <w:bottom w:val="none" w:sz="0" w:space="0" w:color="auto"/>
        <w:right w:val="none" w:sz="0" w:space="0" w:color="auto"/>
      </w:divBdr>
    </w:div>
    <w:div w:id="1941988133">
      <w:bodyDiv w:val="1"/>
      <w:marLeft w:val="0"/>
      <w:marRight w:val="0"/>
      <w:marTop w:val="0"/>
      <w:marBottom w:val="0"/>
      <w:divBdr>
        <w:top w:val="none" w:sz="0" w:space="0" w:color="auto"/>
        <w:left w:val="none" w:sz="0" w:space="0" w:color="auto"/>
        <w:bottom w:val="none" w:sz="0" w:space="0" w:color="auto"/>
        <w:right w:val="none" w:sz="0" w:space="0" w:color="auto"/>
      </w:divBdr>
    </w:div>
    <w:div w:id="1978073769">
      <w:bodyDiv w:val="1"/>
      <w:marLeft w:val="0"/>
      <w:marRight w:val="0"/>
      <w:marTop w:val="0"/>
      <w:marBottom w:val="0"/>
      <w:divBdr>
        <w:top w:val="none" w:sz="0" w:space="0" w:color="auto"/>
        <w:left w:val="none" w:sz="0" w:space="0" w:color="auto"/>
        <w:bottom w:val="none" w:sz="0" w:space="0" w:color="auto"/>
        <w:right w:val="none" w:sz="0" w:space="0" w:color="auto"/>
      </w:divBdr>
    </w:div>
    <w:div w:id="204894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4.wmf"/><Relationship Id="rId26" Type="http://schemas.openxmlformats.org/officeDocument/2006/relationships/oleObject" Target="embeddings/oleObject2.bin"/><Relationship Id="rId39" Type="http://schemas.openxmlformats.org/officeDocument/2006/relationships/chart" Target="charts/chart18.xml"/><Relationship Id="rId21" Type="http://schemas.openxmlformats.org/officeDocument/2006/relationships/chart" Target="charts/chart4.xml"/><Relationship Id="rId34" Type="http://schemas.openxmlformats.org/officeDocument/2006/relationships/chart" Target="charts/chart13.xml"/><Relationship Id="rId42"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5.emf"/><Relationship Id="rId29" Type="http://schemas.openxmlformats.org/officeDocument/2006/relationships/image" Target="media/image8.emf"/><Relationship Id="rId41" Type="http://schemas.openxmlformats.org/officeDocument/2006/relationships/chart" Target="charts/chart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hart" Target="charts/chart6.xml"/><Relationship Id="rId32" Type="http://schemas.openxmlformats.org/officeDocument/2006/relationships/chart" Target="charts/chart11.xml"/><Relationship Id="rId37" Type="http://schemas.openxmlformats.org/officeDocument/2006/relationships/chart" Target="charts/chart16.xml"/><Relationship Id="rId40" Type="http://schemas.openxmlformats.org/officeDocument/2006/relationships/chart" Target="charts/chart19.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image" Target="media/image6.emf"/><Relationship Id="rId28" Type="http://schemas.openxmlformats.org/officeDocument/2006/relationships/chart" Target="charts/chart8.xml"/><Relationship Id="rId36" Type="http://schemas.openxmlformats.org/officeDocument/2006/relationships/chart" Target="charts/chart15.xml"/><Relationship Id="rId10" Type="http://schemas.openxmlformats.org/officeDocument/2006/relationships/footer" Target="footer2.xml"/><Relationship Id="rId19" Type="http://schemas.openxmlformats.org/officeDocument/2006/relationships/oleObject" Target="embeddings/oleObject1.bin"/><Relationship Id="rId31" Type="http://schemas.openxmlformats.org/officeDocument/2006/relationships/chart" Target="charts/chart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chart" Target="charts/chart5.xml"/><Relationship Id="rId27" Type="http://schemas.openxmlformats.org/officeDocument/2006/relationships/chart" Target="charts/chart7.xml"/><Relationship Id="rId30" Type="http://schemas.openxmlformats.org/officeDocument/2006/relationships/chart" Target="charts/chart9.xml"/><Relationship Id="rId35" Type="http://schemas.openxmlformats.org/officeDocument/2006/relationships/chart" Target="charts/chart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chart" Target="charts/chart3.xml"/><Relationship Id="rId25" Type="http://schemas.openxmlformats.org/officeDocument/2006/relationships/image" Target="media/image7.wmf"/><Relationship Id="rId33" Type="http://schemas.openxmlformats.org/officeDocument/2006/relationships/chart" Target="charts/chart12.xml"/><Relationship Id="rId38" Type="http://schemas.openxmlformats.org/officeDocument/2006/relationships/chart" Target="charts/chart17.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Heat_ind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howmuch\limbo\SCE\BIP%202014\Report\Ex%20ante%20LI%20figures.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howmuch\limbo\SCE\BIP%202014\Report\Ex%20ante%20figures.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howmuch\limbo\SCE\BIP%202014\Report\Ex%20ante%20figures.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howmuch\limbo\SCE\BIP%202014\Report\Ex%20ante%20figures.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howmuch\limbo\SCE\BIP%202014\Models\PGE\Summary%20dgh%20tjh.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howmuch\limbo\SCE\BIP%202014\Models\PGE\SummaryNS%20dgh.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howmuch\limbo\SCE\BIP%202014\Models\SCE\SummaryNS%20tjh.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file:///\\howmuch\limbo\SCE\BIP%202014\Models\PGE\Actual%20vs%20Predicted_18specs%20to%20date%20tjh.xlsx"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file:///\\howmuch\limbo\SCE\BIP%202014\Models\PGE\Actual%20vs%20Predicted_18specs%20to%20dateNS%20tjh.xlsx" TargetMode="External"/><Relationship Id="rId2" Type="http://schemas.microsoft.com/office/2011/relationships/chartColorStyle" Target="colors18.xml"/><Relationship Id="rId1" Type="http://schemas.microsoft.com/office/2011/relationships/chartStyle" Target="style18.xml"/></Relationships>
</file>

<file path=word/charts/_rels/chart19.xml.rels><?xml version="1.0" encoding="UTF-8" standalone="yes"?>
<Relationships xmlns="http://schemas.openxmlformats.org/package/2006/relationships"><Relationship Id="rId3" Type="http://schemas.openxmlformats.org/officeDocument/2006/relationships/oleObject" Target="file:///\\howmuch\limbo\SCE\BIP%202014\Models\SCE\Actual%20vs%20Predicted_18specs%20to%20dateNS%20tjh.xlsx" TargetMode="External"/><Relationship Id="rId2" Type="http://schemas.microsoft.com/office/2011/relationships/chartColorStyle" Target="colors19.xml"/><Relationship Id="rId1" Type="http://schemas.microsoft.com/office/2011/relationships/chartStyle" Target="style19.xml"/></Relationships>
</file>

<file path=word/charts/_rels/chart2.xml.rels><?xml version="1.0" encoding="UTF-8" standalone="yes"?>
<Relationships xmlns="http://schemas.openxmlformats.org/package/2006/relationships"><Relationship Id="rId3" Type="http://schemas.openxmlformats.org/officeDocument/2006/relationships/oleObject" Target="file:///\\howmuch\limbo\SCE\BIP%202014\Report\Ex%20ante%20figures.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oleObject" Target="Book4" TargetMode="External"/><Relationship Id="rId2" Type="http://schemas.microsoft.com/office/2011/relationships/chartColorStyle" Target="colors20.xml"/><Relationship Id="rId1" Type="http://schemas.microsoft.com/office/2011/relationships/chartStyle" Target="style20.xml"/></Relationships>
</file>

<file path=word/charts/_rels/chart3.xml.rels><?xml version="1.0" encoding="UTF-8" standalone="yes"?>
<Relationships xmlns="http://schemas.openxmlformats.org/package/2006/relationships"><Relationship Id="rId3" Type="http://schemas.openxmlformats.org/officeDocument/2006/relationships/oleObject" Target="file:///\\howmuch\limbo\SCE\BIP%202014\Report\Ex%20ante%20figure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howmuch\limbo\SCE\BIP%202014\Report\Ex%20post%20LI%20figure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howmuch\limbo\SCE\BIP%202014\Report\Ex%20post%20LI%20figure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howmuch\limbo\SCE\BIP%202014\Report\Ex%20post%20LI%20figure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howmuch\limbo\SCE\BIP%202014\Data%20received\SCE\ExAnte%20Enrollment\BIP%20API%202015-2017%20Enrollment%20Forecast%20dgh%20tjh.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howmuch\limbo\SCE\BIP%202014\Report\Ex%20ante%20LI%20figure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howmuch\limbo\SCE\BIP%202014\Report\Ex%20ante%20figures.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Sheet1!$A$2:$A$5</c:f>
              <c:strCache>
                <c:ptCount val="4"/>
                <c:pt idx="0">
                  <c:v>Agriculture, Mining &amp; Construction</c:v>
                </c:pt>
                <c:pt idx="1">
                  <c:v>Manufacturing</c:v>
                </c:pt>
                <c:pt idx="2">
                  <c:v>Retail stores</c:v>
                </c:pt>
                <c:pt idx="3">
                  <c:v>Wholesale, Transport, other utilities</c:v>
                </c:pt>
              </c:strCache>
            </c:strRef>
          </c:cat>
          <c:val>
            <c:numRef>
              <c:f>Sheet1!$B$2:$B$5</c:f>
              <c:numCache>
                <c:formatCode>0.0</c:formatCode>
                <c:ptCount val="4"/>
                <c:pt idx="0">
                  <c:v>3.070033</c:v>
                </c:pt>
                <c:pt idx="1">
                  <c:v>0.34883510000000001</c:v>
                </c:pt>
                <c:pt idx="2">
                  <c:v>0.67496009999999995</c:v>
                </c:pt>
                <c:pt idx="3">
                  <c:v>0.13112260000000001</c:v>
                </c:pt>
              </c:numCache>
            </c:numRef>
          </c:val>
        </c:ser>
        <c:dLbls>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3"/>
          <c:order val="4"/>
          <c:tx>
            <c:strRef>
              <c:f>Sheet1!$X$2</c:f>
              <c:strCache>
                <c:ptCount val="1"/>
                <c:pt idx="0">
                  <c:v>Event Hours</c:v>
                </c:pt>
              </c:strCache>
            </c:strRef>
          </c:tx>
          <c:spPr>
            <a:solidFill>
              <a:schemeClr val="accent1">
                <a:lumMod val="20000"/>
                <a:lumOff val="80000"/>
              </a:schemeClr>
            </a:solidFill>
            <a:ln>
              <a:noFill/>
            </a:ln>
            <a:effectLst/>
          </c:spPr>
          <c:val>
            <c:numRef>
              <c:f>Sheet1!$X$3:$X$26</c:f>
              <c:numCache>
                <c:formatCode>General</c:formatCode>
                <c:ptCount val="24"/>
                <c:pt idx="13" formatCode="#,##0">
                  <c:v>800</c:v>
                </c:pt>
                <c:pt idx="14" formatCode="#,##0">
                  <c:v>800</c:v>
                </c:pt>
                <c:pt idx="15" formatCode="#,##0">
                  <c:v>800</c:v>
                </c:pt>
                <c:pt idx="16" formatCode="#,##0">
                  <c:v>800</c:v>
                </c:pt>
                <c:pt idx="17" formatCode="#,##0">
                  <c:v>800</c:v>
                </c:pt>
              </c:numCache>
            </c:numRef>
          </c:val>
        </c:ser>
        <c:dLbls>
          <c:showLegendKey val="0"/>
          <c:showVal val="0"/>
          <c:showCatName val="0"/>
          <c:showSerName val="0"/>
          <c:showPercent val="0"/>
          <c:showBubbleSize val="0"/>
        </c:dLbls>
        <c:axId val="529053424"/>
        <c:axId val="529053984"/>
      </c:areaChart>
      <c:lineChart>
        <c:grouping val="standard"/>
        <c:varyColors val="0"/>
        <c:ser>
          <c:idx val="0"/>
          <c:order val="1"/>
          <c:tx>
            <c:strRef>
              <c:f>Sheet1!$T$2</c:f>
              <c:strCache>
                <c:ptCount val="1"/>
                <c:pt idx="0">
                  <c:v>Reference</c:v>
                </c:pt>
              </c:strCache>
            </c:strRef>
          </c:tx>
          <c:spPr>
            <a:ln w="38100" cap="rnd">
              <a:solidFill>
                <a:schemeClr val="accent1"/>
              </a:solidFill>
              <a:round/>
            </a:ln>
            <a:effectLst/>
          </c:spPr>
          <c:marker>
            <c:symbol val="none"/>
          </c:marker>
          <c:val>
            <c:numRef>
              <c:f>Sheet1!$T$3:$T$26</c:f>
              <c:numCache>
                <c:formatCode>#,##0</c:formatCode>
                <c:ptCount val="24"/>
                <c:pt idx="0">
                  <c:v>755.87869999999998</c:v>
                </c:pt>
                <c:pt idx="1">
                  <c:v>748.38210000000004</c:v>
                </c:pt>
                <c:pt idx="2">
                  <c:v>741.61410000000001</c:v>
                </c:pt>
                <c:pt idx="3">
                  <c:v>747.04430000000002</c:v>
                </c:pt>
                <c:pt idx="4">
                  <c:v>762.19439999999997</c:v>
                </c:pt>
                <c:pt idx="5">
                  <c:v>792.23249999999996</c:v>
                </c:pt>
                <c:pt idx="6">
                  <c:v>838.61990000000003</c:v>
                </c:pt>
                <c:pt idx="7">
                  <c:v>851.34140000000002</c:v>
                </c:pt>
                <c:pt idx="8">
                  <c:v>861.45150000000001</c:v>
                </c:pt>
                <c:pt idx="9">
                  <c:v>865.35170000000005</c:v>
                </c:pt>
                <c:pt idx="10">
                  <c:v>868.10419999999999</c:v>
                </c:pt>
                <c:pt idx="11">
                  <c:v>861.75969999999995</c:v>
                </c:pt>
                <c:pt idx="12">
                  <c:v>850.27009999999996</c:v>
                </c:pt>
                <c:pt idx="13">
                  <c:v>844.92359999999996</c:v>
                </c:pt>
                <c:pt idx="14">
                  <c:v>830.22190000000001</c:v>
                </c:pt>
                <c:pt idx="15">
                  <c:v>822.45309999999995</c:v>
                </c:pt>
                <c:pt idx="16">
                  <c:v>812.71169999999995</c:v>
                </c:pt>
                <c:pt idx="17">
                  <c:v>804.26969999999994</c:v>
                </c:pt>
                <c:pt idx="18">
                  <c:v>803.4855</c:v>
                </c:pt>
                <c:pt idx="19">
                  <c:v>808.15390000000002</c:v>
                </c:pt>
                <c:pt idx="20">
                  <c:v>814.08219999999994</c:v>
                </c:pt>
                <c:pt idx="21">
                  <c:v>814.61249999999995</c:v>
                </c:pt>
                <c:pt idx="22">
                  <c:v>807.91989999999998</c:v>
                </c:pt>
                <c:pt idx="23">
                  <c:v>775.30790000000002</c:v>
                </c:pt>
              </c:numCache>
            </c:numRef>
          </c:val>
          <c:smooth val="0"/>
        </c:ser>
        <c:ser>
          <c:idx val="1"/>
          <c:order val="2"/>
          <c:tx>
            <c:strRef>
              <c:f>Sheet1!$U$2</c:f>
              <c:strCache>
                <c:ptCount val="1"/>
                <c:pt idx="0">
                  <c:v>Observed</c:v>
                </c:pt>
              </c:strCache>
            </c:strRef>
          </c:tx>
          <c:spPr>
            <a:ln w="38100" cap="rnd">
              <a:solidFill>
                <a:schemeClr val="accent2"/>
              </a:solidFill>
              <a:prstDash val="dash"/>
              <a:round/>
            </a:ln>
            <a:effectLst/>
          </c:spPr>
          <c:marker>
            <c:symbol val="none"/>
          </c:marker>
          <c:val>
            <c:numRef>
              <c:f>Sheet1!$U$3:$U$26</c:f>
              <c:numCache>
                <c:formatCode>#,##0</c:formatCode>
                <c:ptCount val="24"/>
                <c:pt idx="0">
                  <c:v>755.87869999999998</c:v>
                </c:pt>
                <c:pt idx="1">
                  <c:v>748.38210000000004</c:v>
                </c:pt>
                <c:pt idx="2">
                  <c:v>741.61410000000001</c:v>
                </c:pt>
                <c:pt idx="3">
                  <c:v>747.04430000000002</c:v>
                </c:pt>
                <c:pt idx="4">
                  <c:v>762.19439999999997</c:v>
                </c:pt>
                <c:pt idx="5">
                  <c:v>792.23249999999996</c:v>
                </c:pt>
                <c:pt idx="6">
                  <c:v>838.61990000000003</c:v>
                </c:pt>
                <c:pt idx="7">
                  <c:v>851.34140000000002</c:v>
                </c:pt>
                <c:pt idx="8">
                  <c:v>861.45150000000001</c:v>
                </c:pt>
                <c:pt idx="9">
                  <c:v>865.35170000000005</c:v>
                </c:pt>
                <c:pt idx="10">
                  <c:v>868.10419999999999</c:v>
                </c:pt>
                <c:pt idx="11">
                  <c:v>861.75969999999995</c:v>
                </c:pt>
                <c:pt idx="12">
                  <c:v>568.10719999999992</c:v>
                </c:pt>
                <c:pt idx="13">
                  <c:v>163.27170000000001</c:v>
                </c:pt>
                <c:pt idx="14">
                  <c:v>158.61369999999999</c:v>
                </c:pt>
                <c:pt idx="15">
                  <c:v>153.90289999999993</c:v>
                </c:pt>
                <c:pt idx="16">
                  <c:v>150.60259999999994</c:v>
                </c:pt>
                <c:pt idx="17">
                  <c:v>147.37829999999997</c:v>
                </c:pt>
                <c:pt idx="18">
                  <c:v>237.87869999999998</c:v>
                </c:pt>
                <c:pt idx="19">
                  <c:v>404.9624</c:v>
                </c:pt>
                <c:pt idx="20">
                  <c:v>530.93279999999993</c:v>
                </c:pt>
                <c:pt idx="21">
                  <c:v>527.77099999999996</c:v>
                </c:pt>
                <c:pt idx="22">
                  <c:v>522.28829999999994</c:v>
                </c:pt>
                <c:pt idx="23">
                  <c:v>523.34730000000002</c:v>
                </c:pt>
              </c:numCache>
            </c:numRef>
          </c:val>
          <c:smooth val="0"/>
        </c:ser>
        <c:dLbls>
          <c:showLegendKey val="0"/>
          <c:showVal val="0"/>
          <c:showCatName val="0"/>
          <c:showSerName val="0"/>
          <c:showPercent val="0"/>
          <c:showBubbleSize val="0"/>
        </c:dLbls>
        <c:marker val="1"/>
        <c:smooth val="0"/>
        <c:axId val="529053424"/>
        <c:axId val="529053984"/>
      </c:lineChart>
      <c:lineChart>
        <c:grouping val="standard"/>
        <c:varyColors val="0"/>
        <c:ser>
          <c:idx val="4"/>
          <c:order val="0"/>
          <c:tx>
            <c:strRef>
              <c:f>Sheet1!$W$2</c:f>
              <c:strCache>
                <c:ptCount val="1"/>
                <c:pt idx="0">
                  <c:v>FSL</c:v>
                </c:pt>
              </c:strCache>
            </c:strRef>
          </c:tx>
          <c:spPr>
            <a:ln w="31750" cap="rnd">
              <a:solidFill>
                <a:schemeClr val="accent4">
                  <a:lumMod val="75000"/>
                </a:schemeClr>
              </a:solidFill>
              <a:round/>
            </a:ln>
            <a:effectLst/>
          </c:spPr>
          <c:marker>
            <c:symbol val="none"/>
          </c:marker>
          <c:val>
            <c:numRef>
              <c:f>Sheet1!$W$3:$W$26</c:f>
              <c:numCache>
                <c:formatCode>#,##0.0</c:formatCode>
                <c:ptCount val="24"/>
                <c:pt idx="0">
                  <c:v>84.117090000000005</c:v>
                </c:pt>
                <c:pt idx="1">
                  <c:v>84.117090000000005</c:v>
                </c:pt>
                <c:pt idx="2">
                  <c:v>84.117090000000005</c:v>
                </c:pt>
                <c:pt idx="3">
                  <c:v>84.117090000000005</c:v>
                </c:pt>
                <c:pt idx="4">
                  <c:v>84.117090000000005</c:v>
                </c:pt>
                <c:pt idx="5">
                  <c:v>84.117090000000005</c:v>
                </c:pt>
                <c:pt idx="6">
                  <c:v>84.117090000000005</c:v>
                </c:pt>
                <c:pt idx="7">
                  <c:v>84.117090000000005</c:v>
                </c:pt>
                <c:pt idx="8">
                  <c:v>84.117090000000005</c:v>
                </c:pt>
                <c:pt idx="9">
                  <c:v>84.117090000000005</c:v>
                </c:pt>
                <c:pt idx="10">
                  <c:v>84.117090000000005</c:v>
                </c:pt>
                <c:pt idx="11">
                  <c:v>84.117090000000005</c:v>
                </c:pt>
                <c:pt idx="12">
                  <c:v>84.117090000000005</c:v>
                </c:pt>
                <c:pt idx="13">
                  <c:v>84.117090000000005</c:v>
                </c:pt>
                <c:pt idx="14">
                  <c:v>84.117090000000005</c:v>
                </c:pt>
                <c:pt idx="15">
                  <c:v>84.117090000000005</c:v>
                </c:pt>
                <c:pt idx="16">
                  <c:v>84.117090000000005</c:v>
                </c:pt>
                <c:pt idx="17">
                  <c:v>84.117090000000005</c:v>
                </c:pt>
                <c:pt idx="18">
                  <c:v>84.117090000000005</c:v>
                </c:pt>
                <c:pt idx="19">
                  <c:v>84.117090000000005</c:v>
                </c:pt>
                <c:pt idx="20">
                  <c:v>84.117090000000005</c:v>
                </c:pt>
                <c:pt idx="21">
                  <c:v>84.117090000000005</c:v>
                </c:pt>
                <c:pt idx="22">
                  <c:v>84.117090000000005</c:v>
                </c:pt>
                <c:pt idx="23">
                  <c:v>84.117090000000005</c:v>
                </c:pt>
              </c:numCache>
            </c:numRef>
          </c:val>
          <c:smooth val="0"/>
        </c:ser>
        <c:ser>
          <c:idx val="2"/>
          <c:order val="3"/>
          <c:tx>
            <c:strRef>
              <c:f>Sheet1!$V$2</c:f>
              <c:strCache>
                <c:ptCount val="1"/>
                <c:pt idx="0">
                  <c:v>Load Impact</c:v>
                </c:pt>
              </c:strCache>
            </c:strRef>
          </c:tx>
          <c:spPr>
            <a:ln w="38100" cap="rnd">
              <a:solidFill>
                <a:srgbClr val="92D050"/>
              </a:solidFill>
              <a:round/>
            </a:ln>
            <a:effectLst/>
          </c:spPr>
          <c:marker>
            <c:symbol val="diamond"/>
            <c:size val="8"/>
            <c:spPr>
              <a:solidFill>
                <a:srgbClr val="92D050"/>
              </a:solidFill>
              <a:ln w="9525">
                <a:solidFill>
                  <a:srgbClr val="92D050"/>
                </a:solidFill>
              </a:ln>
              <a:effectLst/>
            </c:spPr>
          </c:marker>
          <c:val>
            <c:numRef>
              <c:f>Sheet1!$V$3:$V$26</c:f>
              <c:numCache>
                <c:formatCode>#,##0</c:formatCode>
                <c:ptCount val="24"/>
                <c:pt idx="0">
                  <c:v>0</c:v>
                </c:pt>
                <c:pt idx="1">
                  <c:v>0</c:v>
                </c:pt>
                <c:pt idx="2">
                  <c:v>0</c:v>
                </c:pt>
                <c:pt idx="3">
                  <c:v>0</c:v>
                </c:pt>
                <c:pt idx="4">
                  <c:v>0</c:v>
                </c:pt>
                <c:pt idx="5">
                  <c:v>0</c:v>
                </c:pt>
                <c:pt idx="6">
                  <c:v>0</c:v>
                </c:pt>
                <c:pt idx="7">
                  <c:v>0</c:v>
                </c:pt>
                <c:pt idx="8">
                  <c:v>0</c:v>
                </c:pt>
                <c:pt idx="9">
                  <c:v>0</c:v>
                </c:pt>
                <c:pt idx="10">
                  <c:v>0</c:v>
                </c:pt>
                <c:pt idx="11">
                  <c:v>0</c:v>
                </c:pt>
                <c:pt idx="12">
                  <c:v>282.16289999999998</c:v>
                </c:pt>
                <c:pt idx="13">
                  <c:v>681.65189999999996</c:v>
                </c:pt>
                <c:pt idx="14">
                  <c:v>671.60820000000001</c:v>
                </c:pt>
                <c:pt idx="15">
                  <c:v>668.55020000000002</c:v>
                </c:pt>
                <c:pt idx="16">
                  <c:v>662.10910000000001</c:v>
                </c:pt>
                <c:pt idx="17">
                  <c:v>656.89139999999998</c:v>
                </c:pt>
                <c:pt idx="18">
                  <c:v>565.60680000000002</c:v>
                </c:pt>
                <c:pt idx="19">
                  <c:v>403.19150000000002</c:v>
                </c:pt>
                <c:pt idx="20">
                  <c:v>283.14940000000001</c:v>
                </c:pt>
                <c:pt idx="21">
                  <c:v>286.8415</c:v>
                </c:pt>
                <c:pt idx="22">
                  <c:v>285.63159999999999</c:v>
                </c:pt>
                <c:pt idx="23">
                  <c:v>251.9606</c:v>
                </c:pt>
              </c:numCache>
            </c:numRef>
          </c:val>
          <c:smooth val="0"/>
        </c:ser>
        <c:dLbls>
          <c:showLegendKey val="0"/>
          <c:showVal val="0"/>
          <c:showCatName val="0"/>
          <c:showSerName val="0"/>
          <c:showPercent val="0"/>
          <c:showBubbleSize val="0"/>
        </c:dLbls>
        <c:marker val="1"/>
        <c:smooth val="0"/>
        <c:axId val="529055104"/>
        <c:axId val="529054544"/>
      </c:lineChart>
      <c:catAx>
        <c:axId val="529053424"/>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29053984"/>
        <c:crosses val="autoZero"/>
        <c:auto val="1"/>
        <c:lblAlgn val="ctr"/>
        <c:lblOffset val="100"/>
        <c:noMultiLvlLbl val="0"/>
      </c:catAx>
      <c:valAx>
        <c:axId val="5290539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29053424"/>
        <c:crosses val="autoZero"/>
        <c:crossBetween val="between"/>
      </c:valAx>
      <c:valAx>
        <c:axId val="529054544"/>
        <c:scaling>
          <c:orientation val="minMax"/>
          <c:max val="1000"/>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Impact (MW)</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29055104"/>
        <c:crosses val="max"/>
        <c:crossBetween val="between"/>
      </c:valAx>
      <c:catAx>
        <c:axId val="529055104"/>
        <c:scaling>
          <c:orientation val="minMax"/>
        </c:scaling>
        <c:delete val="1"/>
        <c:axPos val="b"/>
        <c:majorTickMark val="out"/>
        <c:minorTickMark val="none"/>
        <c:tickLblPos val="nextTo"/>
        <c:crossAx val="52905454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Sheet1!$C$12</c:f>
              <c:strCache>
                <c:ptCount val="1"/>
                <c:pt idx="0">
                  <c:v>Load Impact (MW)</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Sheet1!$B$13:$B$15</c:f>
              <c:strCache>
                <c:ptCount val="3"/>
                <c:pt idx="0">
                  <c:v>LA Basin</c:v>
                </c:pt>
                <c:pt idx="1">
                  <c:v>Outside Basin</c:v>
                </c:pt>
                <c:pt idx="2">
                  <c:v>Ventura</c:v>
                </c:pt>
              </c:strCache>
            </c:strRef>
          </c:cat>
          <c:val>
            <c:numRef>
              <c:f>Sheet1!$C$13:$C$15</c:f>
              <c:numCache>
                <c:formatCode>0.0</c:formatCode>
                <c:ptCount val="3"/>
                <c:pt idx="0">
                  <c:v>468.28145999999998</c:v>
                </c:pt>
                <c:pt idx="1">
                  <c:v>86.905318000000008</c:v>
                </c:pt>
                <c:pt idx="2">
                  <c:v>111.61117999999999</c:v>
                </c:pt>
              </c:numCache>
            </c:numRef>
          </c:val>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Sheet1!$B$18</c:f>
              <c:strCache>
                <c:ptCount val="1"/>
                <c:pt idx="0">
                  <c:v>30 Minute Notification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0"/>
              </c:ext>
            </c:extLst>
          </c:dLbls>
          <c:cat>
            <c:strRef>
              <c:f>Sheet1!$C$17:$D$17</c:f>
              <c:strCache>
                <c:ptCount val="2"/>
                <c:pt idx="0">
                  <c:v>Customers</c:v>
                </c:pt>
                <c:pt idx="1">
                  <c:v>Load Impact (MW)</c:v>
                </c:pt>
              </c:strCache>
            </c:strRef>
          </c:cat>
          <c:val>
            <c:numRef>
              <c:f>Sheet1!$C$18:$D$18</c:f>
              <c:numCache>
                <c:formatCode>0.0</c:formatCode>
                <c:ptCount val="2"/>
                <c:pt idx="0" formatCode="General">
                  <c:v>514</c:v>
                </c:pt>
                <c:pt idx="1">
                  <c:v>513.48352</c:v>
                </c:pt>
              </c:numCache>
            </c:numRef>
          </c:val>
        </c:ser>
        <c:ser>
          <c:idx val="1"/>
          <c:order val="1"/>
          <c:tx>
            <c:strRef>
              <c:f>Sheet1!$B$19</c:f>
              <c:strCache>
                <c:ptCount val="1"/>
                <c:pt idx="0">
                  <c:v>15 Minute Notification</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Sheet1!$C$17:$D$17</c:f>
              <c:strCache>
                <c:ptCount val="2"/>
                <c:pt idx="0">
                  <c:v>Customers</c:v>
                </c:pt>
                <c:pt idx="1">
                  <c:v>Load Impact (MW)</c:v>
                </c:pt>
              </c:strCache>
            </c:strRef>
          </c:cat>
          <c:val>
            <c:numRef>
              <c:f>Sheet1!$C$19:$D$19</c:f>
              <c:numCache>
                <c:formatCode>0.0</c:formatCode>
                <c:ptCount val="2"/>
                <c:pt idx="0" formatCode="0">
                  <c:v>66</c:v>
                </c:pt>
                <c:pt idx="1">
                  <c:v>147.77722</c:v>
                </c:pt>
              </c:numCache>
            </c:numRef>
          </c:val>
        </c:ser>
        <c:dLbls>
          <c:dLblPos val="ctr"/>
          <c:showLegendKey val="0"/>
          <c:showVal val="1"/>
          <c:showCatName val="0"/>
          <c:showSerName val="0"/>
          <c:showPercent val="0"/>
          <c:showBubbleSize val="0"/>
        </c:dLbls>
        <c:gapWidth val="150"/>
        <c:overlap val="100"/>
        <c:axId val="737529632"/>
        <c:axId val="737530192"/>
      </c:barChart>
      <c:catAx>
        <c:axId val="737529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737530192"/>
        <c:crosses val="autoZero"/>
        <c:auto val="1"/>
        <c:lblAlgn val="ctr"/>
        <c:lblOffset val="100"/>
        <c:noMultiLvlLbl val="0"/>
      </c:catAx>
      <c:valAx>
        <c:axId val="7375301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737529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Sheet1!$H$12</c:f>
              <c:strCache>
                <c:ptCount val="1"/>
                <c:pt idx="0">
                  <c:v>Utility 1-in-2</c:v>
                </c:pt>
              </c:strCache>
            </c:strRef>
          </c:tx>
          <c:spPr>
            <a:solidFill>
              <a:schemeClr val="accent1"/>
            </a:solidFill>
            <a:ln>
              <a:noFill/>
            </a:ln>
            <a:effectLst/>
          </c:spPr>
          <c:invertIfNegative val="0"/>
          <c:cat>
            <c:numRef>
              <c:f>Sheet1!$G$13:$G$15</c:f>
              <c:numCache>
                <c:formatCode>0</c:formatCode>
                <c:ptCount val="3"/>
                <c:pt idx="0">
                  <c:v>2015</c:v>
                </c:pt>
                <c:pt idx="1">
                  <c:v>2016</c:v>
                </c:pt>
                <c:pt idx="2">
                  <c:v>2017</c:v>
                </c:pt>
              </c:numCache>
            </c:numRef>
          </c:cat>
          <c:val>
            <c:numRef>
              <c:f>Sheet1!$H$13:$H$15</c:f>
              <c:numCache>
                <c:formatCode>General</c:formatCode>
                <c:ptCount val="3"/>
                <c:pt idx="0">
                  <c:v>668.16216000000009</c:v>
                </c:pt>
                <c:pt idx="1">
                  <c:v>650.88207999999997</c:v>
                </c:pt>
                <c:pt idx="2">
                  <c:v>633.60202000000004</c:v>
                </c:pt>
              </c:numCache>
            </c:numRef>
          </c:val>
        </c:ser>
        <c:ser>
          <c:idx val="1"/>
          <c:order val="1"/>
          <c:tx>
            <c:strRef>
              <c:f>Sheet1!$I$12</c:f>
              <c:strCache>
                <c:ptCount val="1"/>
                <c:pt idx="0">
                  <c:v>Utility 1-in-10</c:v>
                </c:pt>
              </c:strCache>
            </c:strRef>
          </c:tx>
          <c:spPr>
            <a:solidFill>
              <a:schemeClr val="accent2"/>
            </a:solidFill>
            <a:ln>
              <a:noFill/>
            </a:ln>
            <a:effectLst/>
          </c:spPr>
          <c:invertIfNegative val="0"/>
          <c:cat>
            <c:numRef>
              <c:f>Sheet1!$G$13:$G$15</c:f>
              <c:numCache>
                <c:formatCode>0</c:formatCode>
                <c:ptCount val="3"/>
                <c:pt idx="0">
                  <c:v>2015</c:v>
                </c:pt>
                <c:pt idx="1">
                  <c:v>2016</c:v>
                </c:pt>
                <c:pt idx="2">
                  <c:v>2017</c:v>
                </c:pt>
              </c:numCache>
            </c:numRef>
          </c:cat>
          <c:val>
            <c:numRef>
              <c:f>Sheet1!$I$13:$I$15</c:f>
              <c:numCache>
                <c:formatCode>General</c:formatCode>
                <c:ptCount val="3"/>
                <c:pt idx="0">
                  <c:v>666.87747999999999</c:v>
                </c:pt>
                <c:pt idx="1">
                  <c:v>649.63064000000008</c:v>
                </c:pt>
                <c:pt idx="2">
                  <c:v>632.38379999999995</c:v>
                </c:pt>
              </c:numCache>
            </c:numRef>
          </c:val>
        </c:ser>
        <c:ser>
          <c:idx val="2"/>
          <c:order val="2"/>
          <c:tx>
            <c:strRef>
              <c:f>Sheet1!$J$12</c:f>
              <c:strCache>
                <c:ptCount val="1"/>
                <c:pt idx="0">
                  <c:v>CAISO 1-in-2</c:v>
                </c:pt>
              </c:strCache>
            </c:strRef>
          </c:tx>
          <c:spPr>
            <a:solidFill>
              <a:schemeClr val="accent3"/>
            </a:solidFill>
            <a:ln>
              <a:noFill/>
            </a:ln>
            <a:effectLst/>
          </c:spPr>
          <c:invertIfNegative val="0"/>
          <c:cat>
            <c:numRef>
              <c:f>Sheet1!$G$13:$G$15</c:f>
              <c:numCache>
                <c:formatCode>0</c:formatCode>
                <c:ptCount val="3"/>
                <c:pt idx="0">
                  <c:v>2015</c:v>
                </c:pt>
                <c:pt idx="1">
                  <c:v>2016</c:v>
                </c:pt>
                <c:pt idx="2">
                  <c:v>2017</c:v>
                </c:pt>
              </c:numCache>
            </c:numRef>
          </c:cat>
          <c:val>
            <c:numRef>
              <c:f>Sheet1!$J$13:$J$15</c:f>
              <c:numCache>
                <c:formatCode>General</c:formatCode>
                <c:ptCount val="3"/>
                <c:pt idx="0">
                  <c:v>668.96172000000001</c:v>
                </c:pt>
                <c:pt idx="1">
                  <c:v>651.66099999999994</c:v>
                </c:pt>
                <c:pt idx="2">
                  <c:v>634.36024000000009</c:v>
                </c:pt>
              </c:numCache>
            </c:numRef>
          </c:val>
        </c:ser>
        <c:ser>
          <c:idx val="3"/>
          <c:order val="3"/>
          <c:tx>
            <c:strRef>
              <c:f>Sheet1!$K$12</c:f>
              <c:strCache>
                <c:ptCount val="1"/>
                <c:pt idx="0">
                  <c:v>CAISO 1-in-10</c:v>
                </c:pt>
              </c:strCache>
            </c:strRef>
          </c:tx>
          <c:spPr>
            <a:solidFill>
              <a:schemeClr val="accent4"/>
            </a:solidFill>
            <a:ln>
              <a:noFill/>
            </a:ln>
            <a:effectLst/>
          </c:spPr>
          <c:invertIfNegative val="0"/>
          <c:cat>
            <c:numRef>
              <c:f>Sheet1!$G$13:$G$15</c:f>
              <c:numCache>
                <c:formatCode>0</c:formatCode>
                <c:ptCount val="3"/>
                <c:pt idx="0">
                  <c:v>2015</c:v>
                </c:pt>
                <c:pt idx="1">
                  <c:v>2016</c:v>
                </c:pt>
                <c:pt idx="2">
                  <c:v>2017</c:v>
                </c:pt>
              </c:numCache>
            </c:numRef>
          </c:cat>
          <c:val>
            <c:numRef>
              <c:f>Sheet1!$K$13:$K$15</c:f>
              <c:numCache>
                <c:formatCode>General</c:formatCode>
                <c:ptCount val="3"/>
                <c:pt idx="0">
                  <c:v>668.10892000000001</c:v>
                </c:pt>
                <c:pt idx="1">
                  <c:v>650.83024</c:v>
                </c:pt>
                <c:pt idx="2">
                  <c:v>633.55158000000006</c:v>
                </c:pt>
              </c:numCache>
            </c:numRef>
          </c:val>
        </c:ser>
        <c:dLbls>
          <c:showLegendKey val="0"/>
          <c:showVal val="0"/>
          <c:showCatName val="0"/>
          <c:showSerName val="0"/>
          <c:showPercent val="0"/>
          <c:showBubbleSize val="0"/>
        </c:dLbls>
        <c:gapWidth val="219"/>
        <c:overlap val="-27"/>
        <c:axId val="737534112"/>
        <c:axId val="737534672"/>
      </c:barChart>
      <c:catAx>
        <c:axId val="737534112"/>
        <c:scaling>
          <c:orientation val="minMax"/>
        </c:scaling>
        <c:delete val="0"/>
        <c:axPos val="b"/>
        <c:title>
          <c:tx>
            <c:rich>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US" sz="1100"/>
                  <a:t>Forecast Year</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737534672"/>
        <c:crosses val="autoZero"/>
        <c:auto val="1"/>
        <c:lblAlgn val="ctr"/>
        <c:lblOffset val="100"/>
        <c:noMultiLvlLbl val="0"/>
      </c:catAx>
      <c:valAx>
        <c:axId val="737534672"/>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US" sz="1100"/>
                  <a:t> Load</a:t>
                </a:r>
                <a:r>
                  <a:rPr lang="en-US" sz="1100" baseline="0"/>
                  <a:t> Impact (MW)</a:t>
                </a:r>
                <a:endParaRPr lang="en-US" sz="1100"/>
              </a:p>
            </c:rich>
          </c:tx>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737534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 Level (2)'!$C$2</c:f>
              <c:strCache>
                <c:ptCount val="1"/>
                <c:pt idx="0">
                  <c:v>thi</c:v>
                </c:pt>
              </c:strCache>
            </c:strRef>
          </c:tx>
          <c:spPr>
            <a:ln w="28575" cap="rnd">
              <a:solidFill>
                <a:schemeClr val="accent1"/>
              </a:solidFill>
              <a:round/>
            </a:ln>
            <a:effectLst/>
          </c:spPr>
          <c:marker>
            <c:symbol val="none"/>
          </c:marker>
          <c:val>
            <c:numRef>
              <c:f>'LIs Level (2)'!$D$2:$AA$2</c:f>
              <c:numCache>
                <c:formatCode>General</c:formatCode>
                <c:ptCount val="24"/>
                <c:pt idx="0">
                  <c:v>1.0253082029521465E-2</c:v>
                </c:pt>
                <c:pt idx="1">
                  <c:v>-5.2818427793681622E-3</c:v>
                </c:pt>
                <c:pt idx="2">
                  <c:v>-1.662251353263855E-2</c:v>
                </c:pt>
                <c:pt idx="3">
                  <c:v>-1.8738217651844025E-2</c:v>
                </c:pt>
                <c:pt idx="4">
                  <c:v>-1.7704514786601067E-2</c:v>
                </c:pt>
                <c:pt idx="5">
                  <c:v>-2.5632156059145927E-2</c:v>
                </c:pt>
                <c:pt idx="6">
                  <c:v>-3.9986110641621053E-4</c:v>
                </c:pt>
                <c:pt idx="7">
                  <c:v>-6.4185373485088348E-3</c:v>
                </c:pt>
                <c:pt idx="8">
                  <c:v>8.1949187442660332E-3</c:v>
                </c:pt>
                <c:pt idx="9">
                  <c:v>9.0827960520982742E-3</c:v>
                </c:pt>
                <c:pt idx="10">
                  <c:v>3.7390802055597305E-2</c:v>
                </c:pt>
                <c:pt idx="11">
                  <c:v>2.6458989828824997E-2</c:v>
                </c:pt>
                <c:pt idx="12">
                  <c:v>3.3268172293901443E-2</c:v>
                </c:pt>
                <c:pt idx="13">
                  <c:v>0.17973499000072479</c:v>
                </c:pt>
                <c:pt idx="14">
                  <c:v>0.59740376472473145</c:v>
                </c:pt>
                <c:pt idx="15">
                  <c:v>0.58161401748657227</c:v>
                </c:pt>
                <c:pt idx="16">
                  <c:v>0.30474615097045898</c:v>
                </c:pt>
                <c:pt idx="17">
                  <c:v>0.15893116593360901</c:v>
                </c:pt>
                <c:pt idx="18">
                  <c:v>0.12714572250843048</c:v>
                </c:pt>
                <c:pt idx="19">
                  <c:v>0.1112174317240715</c:v>
                </c:pt>
                <c:pt idx="20">
                  <c:v>0.10850080102682114</c:v>
                </c:pt>
                <c:pt idx="21">
                  <c:v>0.11535728722810745</c:v>
                </c:pt>
                <c:pt idx="22">
                  <c:v>0.10521462559700012</c:v>
                </c:pt>
                <c:pt idx="23">
                  <c:v>8.3850830793380737E-2</c:v>
                </c:pt>
              </c:numCache>
            </c:numRef>
          </c:val>
          <c:smooth val="0"/>
        </c:ser>
        <c:ser>
          <c:idx val="1"/>
          <c:order val="1"/>
          <c:tx>
            <c:strRef>
              <c:f>'LIs Level (2)'!$C$3</c:f>
              <c:strCache>
                <c:ptCount val="1"/>
                <c:pt idx="0">
                  <c:v>hi</c:v>
                </c:pt>
              </c:strCache>
            </c:strRef>
          </c:tx>
          <c:spPr>
            <a:ln w="28575" cap="rnd">
              <a:solidFill>
                <a:schemeClr val="accent2"/>
              </a:solidFill>
              <a:round/>
            </a:ln>
            <a:effectLst/>
          </c:spPr>
          <c:marker>
            <c:symbol val="none"/>
          </c:marker>
          <c:val>
            <c:numRef>
              <c:f>'LIs Level (2)'!$D$3:$AA$3</c:f>
              <c:numCache>
                <c:formatCode>General</c:formatCode>
                <c:ptCount val="24"/>
                <c:pt idx="0">
                  <c:v>8.480471558868885E-3</c:v>
                </c:pt>
                <c:pt idx="1">
                  <c:v>-4.6105552464723587E-3</c:v>
                </c:pt>
                <c:pt idx="2">
                  <c:v>-1.6667095944285393E-2</c:v>
                </c:pt>
                <c:pt idx="3">
                  <c:v>-2.0089045166969299E-2</c:v>
                </c:pt>
                <c:pt idx="4">
                  <c:v>-1.8357696011662483E-2</c:v>
                </c:pt>
                <c:pt idx="5">
                  <c:v>-2.646726556122303E-2</c:v>
                </c:pt>
                <c:pt idx="6">
                  <c:v>-8.1969780148938298E-4</c:v>
                </c:pt>
                <c:pt idx="7">
                  <c:v>-8.2820327952504158E-3</c:v>
                </c:pt>
                <c:pt idx="8">
                  <c:v>7.5276931747794151E-3</c:v>
                </c:pt>
                <c:pt idx="9">
                  <c:v>8.8408254086971283E-3</c:v>
                </c:pt>
                <c:pt idx="10">
                  <c:v>3.8322579115629196E-2</c:v>
                </c:pt>
                <c:pt idx="11">
                  <c:v>2.6316193863749504E-2</c:v>
                </c:pt>
                <c:pt idx="12">
                  <c:v>3.3532463014125824E-2</c:v>
                </c:pt>
                <c:pt idx="13">
                  <c:v>0.17852267622947693</c:v>
                </c:pt>
                <c:pt idx="14">
                  <c:v>0.59661978483200073</c:v>
                </c:pt>
                <c:pt idx="15">
                  <c:v>0.58067101240158081</c:v>
                </c:pt>
                <c:pt idx="16">
                  <c:v>0.30258703231811523</c:v>
                </c:pt>
                <c:pt idx="17">
                  <c:v>0.15736101567745209</c:v>
                </c:pt>
                <c:pt idx="18">
                  <c:v>0.12595151364803314</c:v>
                </c:pt>
                <c:pt idx="19">
                  <c:v>0.11149368435144424</c:v>
                </c:pt>
                <c:pt idx="20">
                  <c:v>0.10872950404882431</c:v>
                </c:pt>
                <c:pt idx="21">
                  <c:v>0.11615929007530212</c:v>
                </c:pt>
                <c:pt idx="22">
                  <c:v>0.10401411354541779</c:v>
                </c:pt>
                <c:pt idx="23">
                  <c:v>7.6423048973083496E-2</c:v>
                </c:pt>
              </c:numCache>
            </c:numRef>
          </c:val>
          <c:smooth val="0"/>
        </c:ser>
        <c:ser>
          <c:idx val="2"/>
          <c:order val="2"/>
          <c:tx>
            <c:strRef>
              <c:f>'LIs Level (2)'!$C$4</c:f>
              <c:strCache>
                <c:ptCount val="1"/>
                <c:pt idx="0">
                  <c:v>cdh60</c:v>
                </c:pt>
              </c:strCache>
            </c:strRef>
          </c:tx>
          <c:spPr>
            <a:ln w="28575" cap="rnd">
              <a:solidFill>
                <a:schemeClr val="accent3"/>
              </a:solidFill>
              <a:round/>
            </a:ln>
            <a:effectLst/>
          </c:spPr>
          <c:marker>
            <c:symbol val="none"/>
          </c:marker>
          <c:val>
            <c:numRef>
              <c:f>'LIs Level (2)'!$D$4:$AA$4</c:f>
              <c:numCache>
                <c:formatCode>General</c:formatCode>
                <c:ptCount val="24"/>
                <c:pt idx="0">
                  <c:v>8.7298257276415825E-3</c:v>
                </c:pt>
                <c:pt idx="1">
                  <c:v>-7.5130346231162548E-3</c:v>
                </c:pt>
                <c:pt idx="2">
                  <c:v>-2.0378803834319115E-2</c:v>
                </c:pt>
                <c:pt idx="3">
                  <c:v>-2.1749060600996017E-2</c:v>
                </c:pt>
                <c:pt idx="4">
                  <c:v>-1.8735539168119431E-2</c:v>
                </c:pt>
                <c:pt idx="5">
                  <c:v>-2.5874100625514984E-2</c:v>
                </c:pt>
                <c:pt idx="6">
                  <c:v>3.8025251706130803E-4</c:v>
                </c:pt>
                <c:pt idx="7">
                  <c:v>-7.3031848296523094E-3</c:v>
                </c:pt>
                <c:pt idx="8">
                  <c:v>5.8340658433735371E-3</c:v>
                </c:pt>
                <c:pt idx="9">
                  <c:v>8.7630739435553551E-3</c:v>
                </c:pt>
                <c:pt idx="10">
                  <c:v>3.6814726889133453E-2</c:v>
                </c:pt>
                <c:pt idx="11">
                  <c:v>2.5242872536182404E-2</c:v>
                </c:pt>
                <c:pt idx="12">
                  <c:v>3.1572896987199783E-2</c:v>
                </c:pt>
                <c:pt idx="13">
                  <c:v>0.17896264791488647</c:v>
                </c:pt>
                <c:pt idx="14">
                  <c:v>0.59695404767990112</c:v>
                </c:pt>
                <c:pt idx="15">
                  <c:v>0.58251303434371948</c:v>
                </c:pt>
                <c:pt idx="16">
                  <c:v>0.30596572160720825</c:v>
                </c:pt>
                <c:pt idx="17">
                  <c:v>0.1577257513999939</c:v>
                </c:pt>
                <c:pt idx="18">
                  <c:v>0.12479186058044434</c:v>
                </c:pt>
                <c:pt idx="19">
                  <c:v>0.10730652511119843</c:v>
                </c:pt>
                <c:pt idx="20">
                  <c:v>0.10453816503286362</c:v>
                </c:pt>
                <c:pt idx="21">
                  <c:v>0.11271771043539047</c:v>
                </c:pt>
                <c:pt idx="22">
                  <c:v>0.10226000100374222</c:v>
                </c:pt>
                <c:pt idx="23">
                  <c:v>7.9179167747497559E-2</c:v>
                </c:pt>
              </c:numCache>
            </c:numRef>
          </c:val>
          <c:smooth val="0"/>
        </c:ser>
        <c:ser>
          <c:idx val="3"/>
          <c:order val="3"/>
          <c:tx>
            <c:strRef>
              <c:f>'LIs Level (2)'!$C$5</c:f>
              <c:strCache>
                <c:ptCount val="1"/>
                <c:pt idx="0">
                  <c:v>cdh65</c:v>
                </c:pt>
              </c:strCache>
            </c:strRef>
          </c:tx>
          <c:spPr>
            <a:ln w="28575" cap="rnd">
              <a:solidFill>
                <a:schemeClr val="accent4"/>
              </a:solidFill>
              <a:round/>
            </a:ln>
            <a:effectLst/>
          </c:spPr>
          <c:marker>
            <c:symbol val="none"/>
          </c:marker>
          <c:val>
            <c:numRef>
              <c:f>'LIs Level (2)'!$D$5:$AA$5</c:f>
              <c:numCache>
                <c:formatCode>General</c:formatCode>
                <c:ptCount val="24"/>
                <c:pt idx="0">
                  <c:v>7.7350889332592487E-3</c:v>
                </c:pt>
                <c:pt idx="1">
                  <c:v>-8.0621419474482536E-3</c:v>
                </c:pt>
                <c:pt idx="2">
                  <c:v>-1.8826564773917198E-2</c:v>
                </c:pt>
                <c:pt idx="3">
                  <c:v>-1.5278424136340618E-2</c:v>
                </c:pt>
                <c:pt idx="4">
                  <c:v>-1.1715427972376347E-2</c:v>
                </c:pt>
                <c:pt idx="5">
                  <c:v>-1.7931899055838585E-2</c:v>
                </c:pt>
                <c:pt idx="6">
                  <c:v>3.2153213396668434E-3</c:v>
                </c:pt>
                <c:pt idx="7">
                  <c:v>-2.7339302469044924E-3</c:v>
                </c:pt>
                <c:pt idx="8">
                  <c:v>3.3090417273342609E-3</c:v>
                </c:pt>
                <c:pt idx="9">
                  <c:v>6.8596438504755497E-3</c:v>
                </c:pt>
                <c:pt idx="10">
                  <c:v>3.7507761269807816E-2</c:v>
                </c:pt>
                <c:pt idx="11">
                  <c:v>2.5123072788119316E-2</c:v>
                </c:pt>
                <c:pt idx="12">
                  <c:v>3.157363086938858E-2</c:v>
                </c:pt>
                <c:pt idx="13">
                  <c:v>0.17905233800411224</c:v>
                </c:pt>
                <c:pt idx="14">
                  <c:v>0.59692162275314331</c:v>
                </c:pt>
                <c:pt idx="15">
                  <c:v>0.58253902196884155</c:v>
                </c:pt>
                <c:pt idx="16">
                  <c:v>0.30618840456008911</c:v>
                </c:pt>
                <c:pt idx="17">
                  <c:v>0.15778017044067383</c:v>
                </c:pt>
                <c:pt idx="18">
                  <c:v>0.12500536441802979</c:v>
                </c:pt>
                <c:pt idx="19">
                  <c:v>0.10675188899040222</c:v>
                </c:pt>
                <c:pt idx="20">
                  <c:v>0.10204751789569855</c:v>
                </c:pt>
                <c:pt idx="21">
                  <c:v>0.10848825424909592</c:v>
                </c:pt>
                <c:pt idx="22">
                  <c:v>9.8295740783214569E-2</c:v>
                </c:pt>
                <c:pt idx="23">
                  <c:v>7.2858594357967377E-2</c:v>
                </c:pt>
              </c:numCache>
            </c:numRef>
          </c:val>
          <c:smooth val="0"/>
        </c:ser>
        <c:ser>
          <c:idx val="4"/>
          <c:order val="4"/>
          <c:tx>
            <c:strRef>
              <c:f>'LIs Level (2)'!$C$6</c:f>
              <c:strCache>
                <c:ptCount val="1"/>
                <c:pt idx="0">
                  <c:v>cdh60_3ma</c:v>
                </c:pt>
              </c:strCache>
            </c:strRef>
          </c:tx>
          <c:spPr>
            <a:ln w="28575" cap="rnd">
              <a:solidFill>
                <a:schemeClr val="accent5"/>
              </a:solidFill>
              <a:round/>
            </a:ln>
            <a:effectLst/>
          </c:spPr>
          <c:marker>
            <c:symbol val="none"/>
          </c:marker>
          <c:val>
            <c:numRef>
              <c:f>'LIs Level (2)'!$D$6:$AA$6</c:f>
              <c:numCache>
                <c:formatCode>General</c:formatCode>
                <c:ptCount val="24"/>
                <c:pt idx="0">
                  <c:v>9.7273141145706177E-3</c:v>
                </c:pt>
                <c:pt idx="1">
                  <c:v>-6.1716544441878796E-3</c:v>
                </c:pt>
                <c:pt idx="2">
                  <c:v>-1.8405480310320854E-2</c:v>
                </c:pt>
                <c:pt idx="3">
                  <c:v>-2.1709458902478218E-2</c:v>
                </c:pt>
                <c:pt idx="4">
                  <c:v>-2.0480332896113396E-2</c:v>
                </c:pt>
                <c:pt idx="5">
                  <c:v>-2.8230121359229088E-2</c:v>
                </c:pt>
                <c:pt idx="6">
                  <c:v>-5.2131142001599073E-4</c:v>
                </c:pt>
                <c:pt idx="7">
                  <c:v>-3.6607042420655489E-3</c:v>
                </c:pt>
                <c:pt idx="8">
                  <c:v>8.2444082945585251E-3</c:v>
                </c:pt>
                <c:pt idx="9">
                  <c:v>6.8928860127925873E-3</c:v>
                </c:pt>
                <c:pt idx="10">
                  <c:v>3.6187734454870224E-2</c:v>
                </c:pt>
                <c:pt idx="11">
                  <c:v>2.3574993014335632E-2</c:v>
                </c:pt>
                <c:pt idx="12">
                  <c:v>3.1573783606290817E-2</c:v>
                </c:pt>
                <c:pt idx="13">
                  <c:v>0.18084339797496796</c:v>
                </c:pt>
                <c:pt idx="14">
                  <c:v>0.60277289152145386</c:v>
                </c:pt>
                <c:pt idx="15">
                  <c:v>0.58603143692016602</c:v>
                </c:pt>
                <c:pt idx="16">
                  <c:v>0.30740827322006226</c:v>
                </c:pt>
                <c:pt idx="17">
                  <c:v>0.15933331847190857</c:v>
                </c:pt>
                <c:pt idx="18">
                  <c:v>0.12677827477455139</c:v>
                </c:pt>
                <c:pt idx="19">
                  <c:v>0.10991914570331573</c:v>
                </c:pt>
                <c:pt idx="20">
                  <c:v>0.10586255788803101</c:v>
                </c:pt>
                <c:pt idx="21">
                  <c:v>0.11272946745157242</c:v>
                </c:pt>
                <c:pt idx="22">
                  <c:v>0.10030174255371094</c:v>
                </c:pt>
                <c:pt idx="23">
                  <c:v>7.7793024480342865E-2</c:v>
                </c:pt>
              </c:numCache>
            </c:numRef>
          </c:val>
          <c:smooth val="0"/>
        </c:ser>
        <c:ser>
          <c:idx val="5"/>
          <c:order val="5"/>
          <c:tx>
            <c:strRef>
              <c:f>'LIs Level (2)'!$C$7</c:f>
              <c:strCache>
                <c:ptCount val="1"/>
                <c:pt idx="0">
                  <c:v>cdh65_3ma</c:v>
                </c:pt>
              </c:strCache>
            </c:strRef>
          </c:tx>
          <c:spPr>
            <a:ln w="28575" cap="rnd">
              <a:solidFill>
                <a:schemeClr val="accent6"/>
              </a:solidFill>
              <a:round/>
            </a:ln>
            <a:effectLst/>
          </c:spPr>
          <c:marker>
            <c:symbol val="none"/>
          </c:marker>
          <c:val>
            <c:numRef>
              <c:f>'LIs Level (2)'!$D$7:$AA$7</c:f>
              <c:numCache>
                <c:formatCode>General</c:formatCode>
                <c:ptCount val="24"/>
                <c:pt idx="0">
                  <c:v>9.7737293690443039E-3</c:v>
                </c:pt>
                <c:pt idx="1">
                  <c:v>-6.4959963783621788E-3</c:v>
                </c:pt>
                <c:pt idx="2">
                  <c:v>-2.0501062273979187E-2</c:v>
                </c:pt>
                <c:pt idx="3">
                  <c:v>-2.0243829116225243E-2</c:v>
                </c:pt>
                <c:pt idx="4">
                  <c:v>-1.6096619889140129E-2</c:v>
                </c:pt>
                <c:pt idx="5">
                  <c:v>-2.1247392520308495E-2</c:v>
                </c:pt>
                <c:pt idx="6">
                  <c:v>3.1917749438434839E-3</c:v>
                </c:pt>
                <c:pt idx="7">
                  <c:v>1.4529530890285969E-3</c:v>
                </c:pt>
                <c:pt idx="8">
                  <c:v>9.8841004073619843E-3</c:v>
                </c:pt>
                <c:pt idx="9">
                  <c:v>5.0977533683180809E-3</c:v>
                </c:pt>
                <c:pt idx="10">
                  <c:v>3.4029923379421234E-2</c:v>
                </c:pt>
                <c:pt idx="11">
                  <c:v>2.1457891911268234E-2</c:v>
                </c:pt>
                <c:pt idx="12">
                  <c:v>3.1257469207048416E-2</c:v>
                </c:pt>
                <c:pt idx="13">
                  <c:v>0.18072569370269775</c:v>
                </c:pt>
                <c:pt idx="14">
                  <c:v>0.60265195369720459</c:v>
                </c:pt>
                <c:pt idx="15">
                  <c:v>0.58604586124420166</c:v>
                </c:pt>
                <c:pt idx="16">
                  <c:v>0.3075965940952301</c:v>
                </c:pt>
                <c:pt idx="17">
                  <c:v>0.15935312211513519</c:v>
                </c:pt>
                <c:pt idx="18">
                  <c:v>0.12694349884986877</c:v>
                </c:pt>
                <c:pt idx="19">
                  <c:v>0.11021736264228821</c:v>
                </c:pt>
                <c:pt idx="20">
                  <c:v>0.1059977114200592</c:v>
                </c:pt>
                <c:pt idx="21">
                  <c:v>0.11159776151180267</c:v>
                </c:pt>
                <c:pt idx="22">
                  <c:v>9.8188541829586029E-2</c:v>
                </c:pt>
                <c:pt idx="23">
                  <c:v>7.3544926941394806E-2</c:v>
                </c:pt>
              </c:numCache>
            </c:numRef>
          </c:val>
          <c:smooth val="0"/>
        </c:ser>
        <c:ser>
          <c:idx val="6"/>
          <c:order val="6"/>
          <c:tx>
            <c:strRef>
              <c:f>'LIs Level (2)'!$C$8</c:f>
              <c:strCache>
                <c:ptCount val="1"/>
                <c:pt idx="0">
                  <c:v>thi thi_24ma</c:v>
                </c:pt>
              </c:strCache>
            </c:strRef>
          </c:tx>
          <c:spPr>
            <a:ln w="28575" cap="rnd">
              <a:solidFill>
                <a:schemeClr val="accent1">
                  <a:lumMod val="60000"/>
                </a:schemeClr>
              </a:solidFill>
              <a:round/>
            </a:ln>
            <a:effectLst/>
          </c:spPr>
          <c:marker>
            <c:symbol val="none"/>
          </c:marker>
          <c:val>
            <c:numRef>
              <c:f>'LIs Level (2)'!$D$8:$AA$8</c:f>
              <c:numCache>
                <c:formatCode>General</c:formatCode>
                <c:ptCount val="24"/>
                <c:pt idx="0">
                  <c:v>1.0013319551944733E-2</c:v>
                </c:pt>
                <c:pt idx="1">
                  <c:v>-5.2342792041599751E-3</c:v>
                </c:pt>
                <c:pt idx="2">
                  <c:v>-1.6313269734382629E-2</c:v>
                </c:pt>
                <c:pt idx="3">
                  <c:v>-1.832420751452446E-2</c:v>
                </c:pt>
                <c:pt idx="4">
                  <c:v>-1.7846044152975082E-2</c:v>
                </c:pt>
                <c:pt idx="5">
                  <c:v>-2.5854252278804779E-2</c:v>
                </c:pt>
                <c:pt idx="6">
                  <c:v>-2.1988830994814634E-3</c:v>
                </c:pt>
                <c:pt idx="7">
                  <c:v>-6.526388693600893E-3</c:v>
                </c:pt>
                <c:pt idx="8">
                  <c:v>8.3923898637294769E-3</c:v>
                </c:pt>
                <c:pt idx="9">
                  <c:v>9.0829581022262573E-3</c:v>
                </c:pt>
                <c:pt idx="10">
                  <c:v>3.7509392946958542E-2</c:v>
                </c:pt>
                <c:pt idx="11">
                  <c:v>2.6722483336925507E-2</c:v>
                </c:pt>
                <c:pt idx="12">
                  <c:v>3.4562420099973679E-2</c:v>
                </c:pt>
                <c:pt idx="13">
                  <c:v>0.18141627311706543</c:v>
                </c:pt>
                <c:pt idx="14">
                  <c:v>0.60101860761642456</c:v>
                </c:pt>
                <c:pt idx="15">
                  <c:v>0.58640575408935547</c:v>
                </c:pt>
                <c:pt idx="16">
                  <c:v>0.3082001805305481</c:v>
                </c:pt>
                <c:pt idx="17">
                  <c:v>0.16198985278606415</c:v>
                </c:pt>
                <c:pt idx="18">
                  <c:v>0.1308588832616806</c:v>
                </c:pt>
                <c:pt idx="19">
                  <c:v>0.11664856970310211</c:v>
                </c:pt>
                <c:pt idx="20">
                  <c:v>0.11392287164926529</c:v>
                </c:pt>
                <c:pt idx="21">
                  <c:v>0.11931870877742767</c:v>
                </c:pt>
                <c:pt idx="22">
                  <c:v>0.10873324424028397</c:v>
                </c:pt>
                <c:pt idx="23">
                  <c:v>8.6303874850273132E-2</c:v>
                </c:pt>
              </c:numCache>
            </c:numRef>
          </c:val>
          <c:smooth val="0"/>
        </c:ser>
        <c:ser>
          <c:idx val="7"/>
          <c:order val="7"/>
          <c:tx>
            <c:strRef>
              <c:f>'LIs Level (2)'!$C$9</c:f>
              <c:strCache>
                <c:ptCount val="1"/>
                <c:pt idx="0">
                  <c:v>hi hi_24ma</c:v>
                </c:pt>
              </c:strCache>
            </c:strRef>
          </c:tx>
          <c:spPr>
            <a:ln w="28575" cap="rnd">
              <a:solidFill>
                <a:schemeClr val="accent2">
                  <a:lumMod val="60000"/>
                </a:schemeClr>
              </a:solidFill>
              <a:round/>
            </a:ln>
            <a:effectLst/>
          </c:spPr>
          <c:marker>
            <c:symbol val="none"/>
          </c:marker>
          <c:val>
            <c:numRef>
              <c:f>'LIs Level (2)'!$D$9:$AA$9</c:f>
              <c:numCache>
                <c:formatCode>General</c:formatCode>
                <c:ptCount val="24"/>
                <c:pt idx="0">
                  <c:v>8.5493167862296104E-3</c:v>
                </c:pt>
                <c:pt idx="1">
                  <c:v>-4.7619091346859932E-3</c:v>
                </c:pt>
                <c:pt idx="2">
                  <c:v>-1.5190023928880692E-2</c:v>
                </c:pt>
                <c:pt idx="3">
                  <c:v>-1.9050398841500282E-2</c:v>
                </c:pt>
                <c:pt idx="4">
                  <c:v>-1.7783030867576599E-2</c:v>
                </c:pt>
                <c:pt idx="5">
                  <c:v>-2.6244737207889557E-2</c:v>
                </c:pt>
                <c:pt idx="6">
                  <c:v>-2.5757027324289083E-3</c:v>
                </c:pt>
                <c:pt idx="7">
                  <c:v>-7.9787159338593483E-3</c:v>
                </c:pt>
                <c:pt idx="8">
                  <c:v>8.1621157005429268E-3</c:v>
                </c:pt>
                <c:pt idx="9">
                  <c:v>9.7576715052127838E-3</c:v>
                </c:pt>
                <c:pt idx="10">
                  <c:v>3.8837380707263947E-2</c:v>
                </c:pt>
                <c:pt idx="11">
                  <c:v>2.718118391931057E-2</c:v>
                </c:pt>
                <c:pt idx="12">
                  <c:v>3.516719862818718E-2</c:v>
                </c:pt>
                <c:pt idx="13">
                  <c:v>0.18027155101299286</c:v>
                </c:pt>
                <c:pt idx="14">
                  <c:v>0.60104084014892578</c:v>
                </c:pt>
                <c:pt idx="15">
                  <c:v>0.58651280403137207</c:v>
                </c:pt>
                <c:pt idx="16">
                  <c:v>0.30846184492111206</c:v>
                </c:pt>
                <c:pt idx="17">
                  <c:v>0.16200326383113861</c:v>
                </c:pt>
                <c:pt idx="18">
                  <c:v>0.1309075802564621</c:v>
                </c:pt>
                <c:pt idx="19">
                  <c:v>0.11809234321117401</c:v>
                </c:pt>
                <c:pt idx="20">
                  <c:v>0.11617127060890198</c:v>
                </c:pt>
                <c:pt idx="21">
                  <c:v>0.12109626829624176</c:v>
                </c:pt>
                <c:pt idx="22">
                  <c:v>0.11004170775413513</c:v>
                </c:pt>
                <c:pt idx="23">
                  <c:v>7.9917915165424347E-2</c:v>
                </c:pt>
              </c:numCache>
            </c:numRef>
          </c:val>
          <c:smooth val="0"/>
        </c:ser>
        <c:ser>
          <c:idx val="8"/>
          <c:order val="8"/>
          <c:tx>
            <c:strRef>
              <c:f>'LIs Level (2)'!$C$10</c:f>
              <c:strCache>
                <c:ptCount val="1"/>
                <c:pt idx="0">
                  <c:v>cdh60 cdh60_24ma</c:v>
                </c:pt>
              </c:strCache>
            </c:strRef>
          </c:tx>
          <c:spPr>
            <a:ln w="57150" cap="rnd">
              <a:solidFill>
                <a:schemeClr val="accent3">
                  <a:lumMod val="60000"/>
                </a:schemeClr>
              </a:solidFill>
              <a:round/>
            </a:ln>
            <a:effectLst/>
          </c:spPr>
          <c:marker>
            <c:symbol val="none"/>
          </c:marker>
          <c:val>
            <c:numRef>
              <c:f>'LIs Level (2)'!$D$10:$AA$10</c:f>
              <c:numCache>
                <c:formatCode>General</c:formatCode>
                <c:ptCount val="24"/>
                <c:pt idx="0">
                  <c:v>9.9400291219353676E-3</c:v>
                </c:pt>
                <c:pt idx="1">
                  <c:v>-5.8962493203580379E-3</c:v>
                </c:pt>
                <c:pt idx="2">
                  <c:v>-1.7281347885727882E-2</c:v>
                </c:pt>
                <c:pt idx="3">
                  <c:v>-1.9735896959900856E-2</c:v>
                </c:pt>
                <c:pt idx="4">
                  <c:v>-1.7795233055949211E-2</c:v>
                </c:pt>
                <c:pt idx="5">
                  <c:v>-2.6343332603573799E-2</c:v>
                </c:pt>
                <c:pt idx="6">
                  <c:v>-2.9289107769727707E-3</c:v>
                </c:pt>
                <c:pt idx="7">
                  <c:v>-7.7587817795574665E-3</c:v>
                </c:pt>
                <c:pt idx="8">
                  <c:v>7.2966907173395157E-3</c:v>
                </c:pt>
                <c:pt idx="9">
                  <c:v>9.6509391441941261E-3</c:v>
                </c:pt>
                <c:pt idx="10">
                  <c:v>3.8091126829385757E-2</c:v>
                </c:pt>
                <c:pt idx="11">
                  <c:v>2.7083035558462143E-2</c:v>
                </c:pt>
                <c:pt idx="12">
                  <c:v>3.4551084041595459E-2</c:v>
                </c:pt>
                <c:pt idx="13">
                  <c:v>0.1826375424861908</c:v>
                </c:pt>
                <c:pt idx="14">
                  <c:v>0.60550105571746826</c:v>
                </c:pt>
                <c:pt idx="15">
                  <c:v>0.59277516603469849</c:v>
                </c:pt>
                <c:pt idx="16">
                  <c:v>0.31389904022216797</c:v>
                </c:pt>
                <c:pt idx="17">
                  <c:v>0.16471733152866364</c:v>
                </c:pt>
                <c:pt idx="18">
                  <c:v>0.13271345198154449</c:v>
                </c:pt>
                <c:pt idx="19">
                  <c:v>0.11778068542480469</c:v>
                </c:pt>
                <c:pt idx="20">
                  <c:v>0.1150873601436615</c:v>
                </c:pt>
                <c:pt idx="21">
                  <c:v>0.1185007244348526</c:v>
                </c:pt>
                <c:pt idx="22">
                  <c:v>0.10803193598985672</c:v>
                </c:pt>
                <c:pt idx="23">
                  <c:v>8.4309838712215424E-2</c:v>
                </c:pt>
              </c:numCache>
            </c:numRef>
          </c:val>
          <c:smooth val="0"/>
        </c:ser>
        <c:ser>
          <c:idx val="9"/>
          <c:order val="9"/>
          <c:tx>
            <c:strRef>
              <c:f>'LIs Level (2)'!$C$11</c:f>
              <c:strCache>
                <c:ptCount val="1"/>
                <c:pt idx="0">
                  <c:v>cdh65 cdh65_24ma</c:v>
                </c:pt>
              </c:strCache>
            </c:strRef>
          </c:tx>
          <c:spPr>
            <a:ln w="28575" cap="rnd">
              <a:solidFill>
                <a:schemeClr val="accent4">
                  <a:lumMod val="60000"/>
                </a:schemeClr>
              </a:solidFill>
              <a:round/>
            </a:ln>
            <a:effectLst/>
          </c:spPr>
          <c:marker>
            <c:symbol val="none"/>
          </c:marker>
          <c:val>
            <c:numRef>
              <c:f>'LIs Level (2)'!$D$11:$AA$11</c:f>
              <c:numCache>
                <c:formatCode>General</c:formatCode>
                <c:ptCount val="24"/>
                <c:pt idx="0">
                  <c:v>9.4204209744930267E-3</c:v>
                </c:pt>
                <c:pt idx="1">
                  <c:v>-6.0977116227149963E-3</c:v>
                </c:pt>
                <c:pt idx="2">
                  <c:v>-1.6062943264842033E-2</c:v>
                </c:pt>
                <c:pt idx="3">
                  <c:v>-1.7267778515815735E-2</c:v>
                </c:pt>
                <c:pt idx="4">
                  <c:v>-1.6205241903662682E-2</c:v>
                </c:pt>
                <c:pt idx="5">
                  <c:v>-2.5226686149835587E-2</c:v>
                </c:pt>
                <c:pt idx="6">
                  <c:v>-3.2414775341749191E-3</c:v>
                </c:pt>
                <c:pt idx="7">
                  <c:v>-7.5248256325721741E-3</c:v>
                </c:pt>
                <c:pt idx="8">
                  <c:v>5.1790582947432995E-3</c:v>
                </c:pt>
                <c:pt idx="9">
                  <c:v>8.2862544804811478E-3</c:v>
                </c:pt>
                <c:pt idx="10">
                  <c:v>3.8636788725852966E-2</c:v>
                </c:pt>
                <c:pt idx="11">
                  <c:v>2.6757664978504181E-2</c:v>
                </c:pt>
                <c:pt idx="12">
                  <c:v>3.4374799579381943E-2</c:v>
                </c:pt>
                <c:pt idx="13">
                  <c:v>0.18250913918018341</c:v>
                </c:pt>
                <c:pt idx="14">
                  <c:v>0.60533243417739868</c:v>
                </c:pt>
                <c:pt idx="15">
                  <c:v>0.5926203727722168</c:v>
                </c:pt>
                <c:pt idx="16">
                  <c:v>0.31339818239212036</c:v>
                </c:pt>
                <c:pt idx="17">
                  <c:v>0.16352148354053497</c:v>
                </c:pt>
                <c:pt idx="18">
                  <c:v>0.13109517097473145</c:v>
                </c:pt>
                <c:pt idx="19">
                  <c:v>0.11503106355667114</c:v>
                </c:pt>
                <c:pt idx="20">
                  <c:v>0.11178840696811676</c:v>
                </c:pt>
                <c:pt idx="21">
                  <c:v>0.11444411426782608</c:v>
                </c:pt>
                <c:pt idx="22">
                  <c:v>0.10359693318605423</c:v>
                </c:pt>
                <c:pt idx="23">
                  <c:v>7.8227691352367401E-2</c:v>
                </c:pt>
              </c:numCache>
            </c:numRef>
          </c:val>
          <c:smooth val="0"/>
        </c:ser>
        <c:ser>
          <c:idx val="10"/>
          <c:order val="10"/>
          <c:tx>
            <c:strRef>
              <c:f>'LIs Level (2)'!$C$12</c:f>
              <c:strCache>
                <c:ptCount val="1"/>
                <c:pt idx="0">
                  <c:v>cdh60_3ma cdh60_24ma</c:v>
                </c:pt>
              </c:strCache>
            </c:strRef>
          </c:tx>
          <c:spPr>
            <a:ln w="28575" cap="rnd">
              <a:solidFill>
                <a:schemeClr val="accent5">
                  <a:lumMod val="60000"/>
                </a:schemeClr>
              </a:solidFill>
              <a:round/>
            </a:ln>
            <a:effectLst/>
          </c:spPr>
          <c:marker>
            <c:symbol val="none"/>
          </c:marker>
          <c:val>
            <c:numRef>
              <c:f>'LIs Level (2)'!$D$12:$AA$12</c:f>
              <c:numCache>
                <c:formatCode>General</c:formatCode>
                <c:ptCount val="24"/>
                <c:pt idx="0">
                  <c:v>1.0057807900011539E-2</c:v>
                </c:pt>
                <c:pt idx="1">
                  <c:v>-5.3164851851761341E-3</c:v>
                </c:pt>
                <c:pt idx="2">
                  <c:v>-1.6750730574131012E-2</c:v>
                </c:pt>
                <c:pt idx="3">
                  <c:v>-1.9249582663178444E-2</c:v>
                </c:pt>
                <c:pt idx="4">
                  <c:v>-1.825503446161747E-2</c:v>
                </c:pt>
                <c:pt idx="5">
                  <c:v>-2.6784807443618774E-2</c:v>
                </c:pt>
                <c:pt idx="6">
                  <c:v>-2.5225055869668722E-3</c:v>
                </c:pt>
                <c:pt idx="7">
                  <c:v>-6.9558499380946159E-3</c:v>
                </c:pt>
                <c:pt idx="8">
                  <c:v>9.3711139634251595E-3</c:v>
                </c:pt>
                <c:pt idx="9">
                  <c:v>1.0239808820188046E-2</c:v>
                </c:pt>
                <c:pt idx="10">
                  <c:v>3.8508661091327667E-2</c:v>
                </c:pt>
                <c:pt idx="11">
                  <c:v>2.5629119947552681E-2</c:v>
                </c:pt>
                <c:pt idx="12">
                  <c:v>3.3937636762857437E-2</c:v>
                </c:pt>
                <c:pt idx="13">
                  <c:v>0.18373270332813263</c:v>
                </c:pt>
                <c:pt idx="14">
                  <c:v>0.60812729597091675</c:v>
                </c:pt>
                <c:pt idx="15">
                  <c:v>0.59284210205078125</c:v>
                </c:pt>
                <c:pt idx="16">
                  <c:v>0.31263282895088196</c:v>
                </c:pt>
                <c:pt idx="17">
                  <c:v>0.1645626574754715</c:v>
                </c:pt>
                <c:pt idx="18">
                  <c:v>0.13329625129699707</c:v>
                </c:pt>
                <c:pt idx="19">
                  <c:v>0.11784215271472931</c:v>
                </c:pt>
                <c:pt idx="20">
                  <c:v>0.11571728438138962</c:v>
                </c:pt>
                <c:pt idx="21">
                  <c:v>0.12112385034561157</c:v>
                </c:pt>
                <c:pt idx="22">
                  <c:v>0.10962993651628494</c:v>
                </c:pt>
                <c:pt idx="23">
                  <c:v>8.4676310420036316E-2</c:v>
                </c:pt>
              </c:numCache>
            </c:numRef>
          </c:val>
          <c:smooth val="0"/>
        </c:ser>
        <c:ser>
          <c:idx val="11"/>
          <c:order val="11"/>
          <c:tx>
            <c:strRef>
              <c:f>'LIs Level (2)'!$C$13</c:f>
              <c:strCache>
                <c:ptCount val="1"/>
                <c:pt idx="0">
                  <c:v>cdh65_3ma cdh65_24ma</c:v>
                </c:pt>
              </c:strCache>
            </c:strRef>
          </c:tx>
          <c:spPr>
            <a:ln w="28575" cap="rnd">
              <a:solidFill>
                <a:schemeClr val="accent6">
                  <a:lumMod val="60000"/>
                </a:schemeClr>
              </a:solidFill>
              <a:round/>
            </a:ln>
            <a:effectLst/>
          </c:spPr>
          <c:marker>
            <c:symbol val="none"/>
          </c:marker>
          <c:val>
            <c:numRef>
              <c:f>'LIs Level (2)'!$D$13:$AA$13</c:f>
              <c:numCache>
                <c:formatCode>General</c:formatCode>
                <c:ptCount val="24"/>
                <c:pt idx="0">
                  <c:v>1.0427424684166908E-2</c:v>
                </c:pt>
                <c:pt idx="1">
                  <c:v>-5.196018610149622E-3</c:v>
                </c:pt>
                <c:pt idx="2">
                  <c:v>-1.7598653212189674E-2</c:v>
                </c:pt>
                <c:pt idx="3">
                  <c:v>-1.8848301842808723E-2</c:v>
                </c:pt>
                <c:pt idx="4">
                  <c:v>-1.6767252236604691E-2</c:v>
                </c:pt>
                <c:pt idx="5">
                  <c:v>-2.515871450304985E-2</c:v>
                </c:pt>
                <c:pt idx="6">
                  <c:v>-3.7031606771051884E-3</c:v>
                </c:pt>
                <c:pt idx="7">
                  <c:v>-6.0941190458834171E-3</c:v>
                </c:pt>
                <c:pt idx="8">
                  <c:v>9.6038738265633583E-3</c:v>
                </c:pt>
                <c:pt idx="9">
                  <c:v>9.314684197306633E-3</c:v>
                </c:pt>
                <c:pt idx="10">
                  <c:v>3.7095863372087479E-2</c:v>
                </c:pt>
                <c:pt idx="11">
                  <c:v>2.3679900914430618E-2</c:v>
                </c:pt>
                <c:pt idx="12">
                  <c:v>3.3433772623538971E-2</c:v>
                </c:pt>
                <c:pt idx="13">
                  <c:v>0.18347351253032684</c:v>
                </c:pt>
                <c:pt idx="14">
                  <c:v>0.60793393850326538</c:v>
                </c:pt>
                <c:pt idx="15">
                  <c:v>0.59257179498672485</c:v>
                </c:pt>
                <c:pt idx="16">
                  <c:v>0.31216749548912048</c:v>
                </c:pt>
                <c:pt idx="17">
                  <c:v>0.16334372758865356</c:v>
                </c:pt>
                <c:pt idx="18">
                  <c:v>0.13140039145946503</c:v>
                </c:pt>
                <c:pt idx="19">
                  <c:v>0.11487296968698502</c:v>
                </c:pt>
                <c:pt idx="20">
                  <c:v>0.11237382888793945</c:v>
                </c:pt>
                <c:pt idx="21">
                  <c:v>0.11780466139316559</c:v>
                </c:pt>
                <c:pt idx="22">
                  <c:v>0.10629238188266754</c:v>
                </c:pt>
                <c:pt idx="23">
                  <c:v>7.944101095199585E-2</c:v>
                </c:pt>
              </c:numCache>
            </c:numRef>
          </c:val>
          <c:smooth val="0"/>
        </c:ser>
        <c:ser>
          <c:idx val="12"/>
          <c:order val="12"/>
          <c:tx>
            <c:strRef>
              <c:f>'LIs Level (2)'!$C$14</c:f>
              <c:strCache>
                <c:ptCount val="1"/>
                <c:pt idx="0">
                  <c:v>thi lagcdd60</c:v>
                </c:pt>
              </c:strCache>
            </c:strRef>
          </c:tx>
          <c:spPr>
            <a:ln w="28575" cap="rnd">
              <a:solidFill>
                <a:schemeClr val="accent1">
                  <a:lumMod val="80000"/>
                  <a:lumOff val="20000"/>
                </a:schemeClr>
              </a:solidFill>
              <a:round/>
            </a:ln>
            <a:effectLst/>
          </c:spPr>
          <c:marker>
            <c:symbol val="none"/>
          </c:marker>
          <c:val>
            <c:numRef>
              <c:f>'LIs Level (2)'!$D$14:$AA$14</c:f>
              <c:numCache>
                <c:formatCode>General</c:formatCode>
                <c:ptCount val="24"/>
                <c:pt idx="0">
                  <c:v>1.1422606185078621E-2</c:v>
                </c:pt>
                <c:pt idx="1">
                  <c:v>-4.1832048445940018E-3</c:v>
                </c:pt>
                <c:pt idx="2">
                  <c:v>-1.4608150348067284E-2</c:v>
                </c:pt>
                <c:pt idx="3">
                  <c:v>-1.6444172710180283E-2</c:v>
                </c:pt>
                <c:pt idx="4">
                  <c:v>-1.7014032229781151E-2</c:v>
                </c:pt>
                <c:pt idx="5">
                  <c:v>-2.5231936946511269E-2</c:v>
                </c:pt>
                <c:pt idx="6">
                  <c:v>-1.7062843544408679E-3</c:v>
                </c:pt>
                <c:pt idx="7">
                  <c:v>-6.3501992262899876E-3</c:v>
                </c:pt>
                <c:pt idx="8">
                  <c:v>9.1019533574581146E-3</c:v>
                </c:pt>
                <c:pt idx="9">
                  <c:v>9.9966647103428841E-3</c:v>
                </c:pt>
                <c:pt idx="10">
                  <c:v>3.8649566471576691E-2</c:v>
                </c:pt>
                <c:pt idx="11">
                  <c:v>2.7546588331460953E-2</c:v>
                </c:pt>
                <c:pt idx="12">
                  <c:v>3.480854257941246E-2</c:v>
                </c:pt>
                <c:pt idx="13">
                  <c:v>0.18165431916713715</c:v>
                </c:pt>
                <c:pt idx="14">
                  <c:v>0.60118061304092407</c:v>
                </c:pt>
                <c:pt idx="15">
                  <c:v>0.58611923456192017</c:v>
                </c:pt>
                <c:pt idx="16">
                  <c:v>0.30827754735946655</c:v>
                </c:pt>
                <c:pt idx="17">
                  <c:v>0.16220386326313019</c:v>
                </c:pt>
                <c:pt idx="18">
                  <c:v>0.13146904110908508</c:v>
                </c:pt>
                <c:pt idx="19">
                  <c:v>0.11588967591524124</c:v>
                </c:pt>
                <c:pt idx="20">
                  <c:v>0.11353745311498642</c:v>
                </c:pt>
                <c:pt idx="21">
                  <c:v>0.11993185430765152</c:v>
                </c:pt>
                <c:pt idx="22">
                  <c:v>0.10957645624876022</c:v>
                </c:pt>
                <c:pt idx="23">
                  <c:v>8.7373659014701843E-2</c:v>
                </c:pt>
              </c:numCache>
            </c:numRef>
          </c:val>
          <c:smooth val="0"/>
        </c:ser>
        <c:ser>
          <c:idx val="13"/>
          <c:order val="13"/>
          <c:tx>
            <c:strRef>
              <c:f>'LIs Level (2)'!$C$15</c:f>
              <c:strCache>
                <c:ptCount val="1"/>
                <c:pt idx="0">
                  <c:v>hi lagcdd60</c:v>
                </c:pt>
              </c:strCache>
            </c:strRef>
          </c:tx>
          <c:spPr>
            <a:ln w="28575" cap="rnd">
              <a:solidFill>
                <a:schemeClr val="accent2">
                  <a:lumMod val="80000"/>
                  <a:lumOff val="20000"/>
                </a:schemeClr>
              </a:solidFill>
              <a:round/>
            </a:ln>
            <a:effectLst/>
          </c:spPr>
          <c:marker>
            <c:symbol val="none"/>
          </c:marker>
          <c:val>
            <c:numRef>
              <c:f>'LIs Level (2)'!$D$15:$AA$15</c:f>
              <c:numCache>
                <c:formatCode>General</c:formatCode>
                <c:ptCount val="24"/>
                <c:pt idx="0">
                  <c:v>9.6331741660833359E-3</c:v>
                </c:pt>
                <c:pt idx="1">
                  <c:v>-4.0241149254143238E-3</c:v>
                </c:pt>
                <c:pt idx="2">
                  <c:v>-1.4413551427423954E-2</c:v>
                </c:pt>
                <c:pt idx="3">
                  <c:v>-1.7813920974731445E-2</c:v>
                </c:pt>
                <c:pt idx="4">
                  <c:v>-1.7517710104584694E-2</c:v>
                </c:pt>
                <c:pt idx="5">
                  <c:v>-2.5784820318222046E-2</c:v>
                </c:pt>
                <c:pt idx="6">
                  <c:v>-1.7322747735306621E-3</c:v>
                </c:pt>
                <c:pt idx="7">
                  <c:v>-7.8562824055552483E-3</c:v>
                </c:pt>
                <c:pt idx="8">
                  <c:v>8.3828913047909737E-3</c:v>
                </c:pt>
                <c:pt idx="9">
                  <c:v>1.011201087385416E-2</c:v>
                </c:pt>
                <c:pt idx="10">
                  <c:v>3.9987571537494659E-2</c:v>
                </c:pt>
                <c:pt idx="11">
                  <c:v>2.7517123147845268E-2</c:v>
                </c:pt>
                <c:pt idx="12">
                  <c:v>3.4975506365299225E-2</c:v>
                </c:pt>
                <c:pt idx="13">
                  <c:v>0.17998896539211273</c:v>
                </c:pt>
                <c:pt idx="14">
                  <c:v>0.59978258609771729</c:v>
                </c:pt>
                <c:pt idx="15">
                  <c:v>0.58450222015380859</c:v>
                </c:pt>
                <c:pt idx="16">
                  <c:v>0.30645477771759033</c:v>
                </c:pt>
                <c:pt idx="17">
                  <c:v>0.16085633635520935</c:v>
                </c:pt>
                <c:pt idx="18">
                  <c:v>0.12996646761894226</c:v>
                </c:pt>
                <c:pt idx="19">
                  <c:v>0.1161378026008606</c:v>
                </c:pt>
                <c:pt idx="20">
                  <c:v>0.11475753039121628</c:v>
                </c:pt>
                <c:pt idx="21">
                  <c:v>0.12209031730890274</c:v>
                </c:pt>
                <c:pt idx="22">
                  <c:v>0.10944201052188873</c:v>
                </c:pt>
                <c:pt idx="23">
                  <c:v>7.9947374761104584E-2</c:v>
                </c:pt>
              </c:numCache>
            </c:numRef>
          </c:val>
          <c:smooth val="0"/>
        </c:ser>
        <c:ser>
          <c:idx val="14"/>
          <c:order val="14"/>
          <c:tx>
            <c:strRef>
              <c:f>'LIs Level (2)'!$C$16</c:f>
              <c:strCache>
                <c:ptCount val="1"/>
                <c:pt idx="0">
                  <c:v>cdh60 lagcdd60</c:v>
                </c:pt>
              </c:strCache>
            </c:strRef>
          </c:tx>
          <c:spPr>
            <a:ln w="28575" cap="rnd">
              <a:solidFill>
                <a:schemeClr val="accent3">
                  <a:lumMod val="80000"/>
                  <a:lumOff val="20000"/>
                </a:schemeClr>
              </a:solidFill>
              <a:round/>
            </a:ln>
            <a:effectLst/>
          </c:spPr>
          <c:marker>
            <c:symbol val="none"/>
          </c:marker>
          <c:val>
            <c:numRef>
              <c:f>'LIs Level (2)'!$D$16:$AA$16</c:f>
              <c:numCache>
                <c:formatCode>General</c:formatCode>
                <c:ptCount val="24"/>
                <c:pt idx="0">
                  <c:v>1.0096520185470581E-2</c:v>
                </c:pt>
                <c:pt idx="1">
                  <c:v>-5.789631512016058E-3</c:v>
                </c:pt>
                <c:pt idx="2">
                  <c:v>-1.7104649916291237E-2</c:v>
                </c:pt>
                <c:pt idx="3">
                  <c:v>-1.8723288550972939E-2</c:v>
                </c:pt>
                <c:pt idx="4">
                  <c:v>-1.8010687083005905E-2</c:v>
                </c:pt>
                <c:pt idx="5">
                  <c:v>-2.6223216205835342E-2</c:v>
                </c:pt>
                <c:pt idx="6">
                  <c:v>-1.9656347576528788E-3</c:v>
                </c:pt>
                <c:pt idx="7">
                  <c:v>-7.4334344826638699E-3</c:v>
                </c:pt>
                <c:pt idx="8">
                  <c:v>6.8420339375734329E-3</c:v>
                </c:pt>
                <c:pt idx="9">
                  <c:v>9.1370325535535812E-3</c:v>
                </c:pt>
                <c:pt idx="10">
                  <c:v>3.7217754870653152E-2</c:v>
                </c:pt>
                <c:pt idx="11">
                  <c:v>2.5839552283287048E-2</c:v>
                </c:pt>
                <c:pt idx="12">
                  <c:v>3.2596256583929062E-2</c:v>
                </c:pt>
                <c:pt idx="13">
                  <c:v>0.18013904988765717</c:v>
                </c:pt>
                <c:pt idx="14">
                  <c:v>0.59984523057937622</c:v>
                </c:pt>
                <c:pt idx="15">
                  <c:v>0.58629101514816284</c:v>
                </c:pt>
                <c:pt idx="16">
                  <c:v>0.30925858020782471</c:v>
                </c:pt>
                <c:pt idx="17">
                  <c:v>0.16118596494197845</c:v>
                </c:pt>
                <c:pt idx="18">
                  <c:v>0.12959751486778259</c:v>
                </c:pt>
                <c:pt idx="19">
                  <c:v>0.11301258206367493</c:v>
                </c:pt>
                <c:pt idx="20">
                  <c:v>0.1101154237985611</c:v>
                </c:pt>
                <c:pt idx="21">
                  <c:v>0.11627135425806046</c:v>
                </c:pt>
                <c:pt idx="22">
                  <c:v>0.1056225448846817</c:v>
                </c:pt>
                <c:pt idx="23">
                  <c:v>8.2680746912956238E-2</c:v>
                </c:pt>
              </c:numCache>
            </c:numRef>
          </c:val>
          <c:smooth val="0"/>
        </c:ser>
        <c:ser>
          <c:idx val="15"/>
          <c:order val="15"/>
          <c:tx>
            <c:strRef>
              <c:f>'LIs Level (2)'!$C$17</c:f>
              <c:strCache>
                <c:ptCount val="1"/>
                <c:pt idx="0">
                  <c:v>cdh65 lagcdd60</c:v>
                </c:pt>
              </c:strCache>
            </c:strRef>
          </c:tx>
          <c:spPr>
            <a:ln w="28575" cap="rnd">
              <a:solidFill>
                <a:schemeClr val="accent4">
                  <a:lumMod val="80000"/>
                  <a:lumOff val="20000"/>
                </a:schemeClr>
              </a:solidFill>
              <a:round/>
            </a:ln>
            <a:effectLst/>
          </c:spPr>
          <c:marker>
            <c:symbol val="none"/>
          </c:marker>
          <c:val>
            <c:numRef>
              <c:f>'LIs Level (2)'!$D$17:$AA$17</c:f>
              <c:numCache>
                <c:formatCode>General</c:formatCode>
                <c:ptCount val="24"/>
                <c:pt idx="0">
                  <c:v>9.2156538739800453E-3</c:v>
                </c:pt>
                <c:pt idx="1">
                  <c:v>-6.5919030457735062E-3</c:v>
                </c:pt>
                <c:pt idx="2">
                  <c:v>-1.6607528552412987E-2</c:v>
                </c:pt>
                <c:pt idx="3">
                  <c:v>-1.6209689900279045E-2</c:v>
                </c:pt>
                <c:pt idx="4">
                  <c:v>-1.7229165881872177E-2</c:v>
                </c:pt>
                <c:pt idx="5">
                  <c:v>-2.5221763178706169E-2</c:v>
                </c:pt>
                <c:pt idx="6">
                  <c:v>-2.2762597072869539E-3</c:v>
                </c:pt>
                <c:pt idx="7">
                  <c:v>-7.0810592733323574E-3</c:v>
                </c:pt>
                <c:pt idx="8">
                  <c:v>4.6762214042246342E-3</c:v>
                </c:pt>
                <c:pt idx="9">
                  <c:v>7.6437778770923615E-3</c:v>
                </c:pt>
                <c:pt idx="10">
                  <c:v>3.7938781082630157E-2</c:v>
                </c:pt>
                <c:pt idx="11">
                  <c:v>2.5648860260844231E-2</c:v>
                </c:pt>
                <c:pt idx="12">
                  <c:v>3.2514825463294983E-2</c:v>
                </c:pt>
                <c:pt idx="13">
                  <c:v>0.18006931245326996</c:v>
                </c:pt>
                <c:pt idx="14">
                  <c:v>0.59950757026672363</c:v>
                </c:pt>
                <c:pt idx="15">
                  <c:v>0.58604341745376587</c:v>
                </c:pt>
                <c:pt idx="16">
                  <c:v>0.30927875638008118</c:v>
                </c:pt>
                <c:pt idx="17">
                  <c:v>0.16100636124610901</c:v>
                </c:pt>
                <c:pt idx="18">
                  <c:v>0.12945070862770081</c:v>
                </c:pt>
                <c:pt idx="19">
                  <c:v>0.11232702434062958</c:v>
                </c:pt>
                <c:pt idx="20">
                  <c:v>0.10835538804531097</c:v>
                </c:pt>
                <c:pt idx="21">
                  <c:v>0.11371145397424698</c:v>
                </c:pt>
                <c:pt idx="22">
                  <c:v>0.10383649170398712</c:v>
                </c:pt>
                <c:pt idx="23">
                  <c:v>7.9406671226024628E-2</c:v>
                </c:pt>
              </c:numCache>
            </c:numRef>
          </c:val>
          <c:smooth val="0"/>
        </c:ser>
        <c:ser>
          <c:idx val="16"/>
          <c:order val="16"/>
          <c:tx>
            <c:strRef>
              <c:f>'LIs Level (2)'!$C$18</c:f>
              <c:strCache>
                <c:ptCount val="1"/>
                <c:pt idx="0">
                  <c:v>cdh60_3ma lagcdd60</c:v>
                </c:pt>
              </c:strCache>
            </c:strRef>
          </c:tx>
          <c:spPr>
            <a:ln w="28575" cap="rnd">
              <a:solidFill>
                <a:schemeClr val="accent5">
                  <a:lumMod val="80000"/>
                  <a:lumOff val="20000"/>
                </a:schemeClr>
              </a:solidFill>
              <a:round/>
            </a:ln>
            <a:effectLst/>
          </c:spPr>
          <c:marker>
            <c:symbol val="none"/>
          </c:marker>
          <c:val>
            <c:numRef>
              <c:f>'LIs Level (2)'!$D$18:$AA$18</c:f>
              <c:numCache>
                <c:formatCode>General</c:formatCode>
                <c:ptCount val="24"/>
                <c:pt idx="0">
                  <c:v>1.0305440984666348E-2</c:v>
                </c:pt>
                <c:pt idx="1">
                  <c:v>-5.2532064728438854E-3</c:v>
                </c:pt>
                <c:pt idx="2">
                  <c:v>-1.6850955784320831E-2</c:v>
                </c:pt>
                <c:pt idx="3">
                  <c:v>-1.8904607743024826E-2</c:v>
                </c:pt>
                <c:pt idx="4">
                  <c:v>-1.8690226599574089E-2</c:v>
                </c:pt>
                <c:pt idx="5">
                  <c:v>-2.6908684521913528E-2</c:v>
                </c:pt>
                <c:pt idx="6">
                  <c:v>-1.587247010320425E-3</c:v>
                </c:pt>
                <c:pt idx="7">
                  <c:v>-5.8503123000264168E-3</c:v>
                </c:pt>
                <c:pt idx="8">
                  <c:v>9.5209712162613869E-3</c:v>
                </c:pt>
                <c:pt idx="9">
                  <c:v>9.199867956340313E-3</c:v>
                </c:pt>
                <c:pt idx="10">
                  <c:v>3.7436749786138535E-2</c:v>
                </c:pt>
                <c:pt idx="11">
                  <c:v>2.4041431024670601E-2</c:v>
                </c:pt>
                <c:pt idx="12">
                  <c:v>3.1945273280143738E-2</c:v>
                </c:pt>
                <c:pt idx="13">
                  <c:v>0.18150119483470917</c:v>
                </c:pt>
                <c:pt idx="14">
                  <c:v>0.60427635908126831</c:v>
                </c:pt>
                <c:pt idx="15">
                  <c:v>0.58800113201141357</c:v>
                </c:pt>
                <c:pt idx="16">
                  <c:v>0.30916351079940796</c:v>
                </c:pt>
                <c:pt idx="17">
                  <c:v>0.16178072988986969</c:v>
                </c:pt>
                <c:pt idx="18">
                  <c:v>0.130777508020401</c:v>
                </c:pt>
                <c:pt idx="19">
                  <c:v>0.11446553468704224</c:v>
                </c:pt>
                <c:pt idx="20">
                  <c:v>0.11142829805612564</c:v>
                </c:pt>
                <c:pt idx="21">
                  <c:v>0.11799199134111404</c:v>
                </c:pt>
                <c:pt idx="22">
                  <c:v>0.10482923686504364</c:v>
                </c:pt>
                <c:pt idx="23">
                  <c:v>8.1174366176128387E-2</c:v>
                </c:pt>
              </c:numCache>
            </c:numRef>
          </c:val>
          <c:smooth val="0"/>
        </c:ser>
        <c:ser>
          <c:idx val="17"/>
          <c:order val="17"/>
          <c:tx>
            <c:strRef>
              <c:f>'LIs Level (2)'!$C$19</c:f>
              <c:strCache>
                <c:ptCount val="1"/>
                <c:pt idx="0">
                  <c:v>cdh65_3ma lagcdd60</c:v>
                </c:pt>
              </c:strCache>
            </c:strRef>
          </c:tx>
          <c:spPr>
            <a:ln w="28575" cap="rnd">
              <a:solidFill>
                <a:schemeClr val="accent6">
                  <a:lumMod val="80000"/>
                  <a:lumOff val="20000"/>
                </a:schemeClr>
              </a:solidFill>
              <a:round/>
            </a:ln>
            <a:effectLst/>
          </c:spPr>
          <c:marker>
            <c:symbol val="none"/>
          </c:marker>
          <c:val>
            <c:numRef>
              <c:f>'LIs Level (2)'!$D$19:$AA$19</c:f>
              <c:numCache>
                <c:formatCode>General</c:formatCode>
                <c:ptCount val="24"/>
                <c:pt idx="0">
                  <c:v>1.0538624599575996E-2</c:v>
                </c:pt>
                <c:pt idx="1">
                  <c:v>-5.4481429979205132E-3</c:v>
                </c:pt>
                <c:pt idx="2">
                  <c:v>-1.8093625083565712E-2</c:v>
                </c:pt>
                <c:pt idx="3">
                  <c:v>-1.8304983153939247E-2</c:v>
                </c:pt>
                <c:pt idx="4">
                  <c:v>-1.7599601298570633E-2</c:v>
                </c:pt>
                <c:pt idx="5">
                  <c:v>-2.5492731481790543E-2</c:v>
                </c:pt>
                <c:pt idx="6">
                  <c:v>-2.4986411444842815E-3</c:v>
                </c:pt>
                <c:pt idx="7">
                  <c:v>-5.0436016172170639E-3</c:v>
                </c:pt>
                <c:pt idx="8">
                  <c:v>9.7592398524284363E-3</c:v>
                </c:pt>
                <c:pt idx="9">
                  <c:v>8.1236967816948891E-3</c:v>
                </c:pt>
                <c:pt idx="10">
                  <c:v>3.6423251032829285E-2</c:v>
                </c:pt>
                <c:pt idx="11">
                  <c:v>2.25199144333601E-2</c:v>
                </c:pt>
                <c:pt idx="12">
                  <c:v>3.1764402985572815E-2</c:v>
                </c:pt>
                <c:pt idx="13">
                  <c:v>0.18134984374046326</c:v>
                </c:pt>
                <c:pt idx="14">
                  <c:v>0.60400736331939697</c:v>
                </c:pt>
                <c:pt idx="15">
                  <c:v>0.58779639005661011</c:v>
                </c:pt>
                <c:pt idx="16">
                  <c:v>0.30915287137031555</c:v>
                </c:pt>
                <c:pt idx="17">
                  <c:v>0.16160906851291656</c:v>
                </c:pt>
                <c:pt idx="18">
                  <c:v>0.13064317405223846</c:v>
                </c:pt>
                <c:pt idx="19">
                  <c:v>0.11439082771539688</c:v>
                </c:pt>
                <c:pt idx="20">
                  <c:v>0.11117725074291229</c:v>
                </c:pt>
                <c:pt idx="21">
                  <c:v>0.11689388006925583</c:v>
                </c:pt>
                <c:pt idx="22">
                  <c:v>0.10324198007583618</c:v>
                </c:pt>
                <c:pt idx="23">
                  <c:v>7.8244738280773163E-2</c:v>
                </c:pt>
              </c:numCache>
            </c:numRef>
          </c:val>
          <c:smooth val="0"/>
        </c:ser>
        <c:ser>
          <c:idx val="18"/>
          <c:order val="18"/>
          <c:tx>
            <c:strRef>
              <c:f>'LIs Level (2)'!$C$20</c:f>
              <c:strCache>
                <c:ptCount val="1"/>
                <c:pt idx="0">
                  <c:v>mean17</c:v>
                </c:pt>
              </c:strCache>
            </c:strRef>
          </c:tx>
          <c:spPr>
            <a:ln w="28575" cap="rnd">
              <a:solidFill>
                <a:schemeClr val="accent1">
                  <a:lumMod val="80000"/>
                </a:schemeClr>
              </a:solidFill>
              <a:round/>
            </a:ln>
            <a:effectLst/>
          </c:spPr>
          <c:marker>
            <c:symbol val="none"/>
          </c:marker>
          <c:val>
            <c:numRef>
              <c:f>'LIs Level (2)'!$D$20:$AA$20</c:f>
              <c:numCache>
                <c:formatCode>General</c:formatCode>
                <c:ptCount val="24"/>
                <c:pt idx="0">
                  <c:v>9.52959805727005E-3</c:v>
                </c:pt>
                <c:pt idx="1">
                  <c:v>-5.8541102334856987E-3</c:v>
                </c:pt>
                <c:pt idx="2">
                  <c:v>-1.6085268929600716E-2</c:v>
                </c:pt>
                <c:pt idx="3">
                  <c:v>-2.1852262318134308E-2</c:v>
                </c:pt>
                <c:pt idx="4">
                  <c:v>-1.9429963082075119E-2</c:v>
                </c:pt>
                <c:pt idx="5">
                  <c:v>-2.7845920994877815E-2</c:v>
                </c:pt>
                <c:pt idx="6">
                  <c:v>-4.0630600415170193E-3</c:v>
                </c:pt>
                <c:pt idx="7">
                  <c:v>-6.9395578466355801E-3</c:v>
                </c:pt>
                <c:pt idx="8">
                  <c:v>8.1202294677495956E-3</c:v>
                </c:pt>
                <c:pt idx="9">
                  <c:v>9.0307323262095451E-3</c:v>
                </c:pt>
                <c:pt idx="10">
                  <c:v>3.8225937634706497E-2</c:v>
                </c:pt>
                <c:pt idx="11">
                  <c:v>2.7484500780701637E-2</c:v>
                </c:pt>
                <c:pt idx="12">
                  <c:v>3.4777354449033737E-2</c:v>
                </c:pt>
                <c:pt idx="13">
                  <c:v>0.18360923230648041</c:v>
                </c:pt>
                <c:pt idx="14">
                  <c:v>0.6076626181602478</c:v>
                </c:pt>
                <c:pt idx="15">
                  <c:v>0.59329158067703247</c:v>
                </c:pt>
                <c:pt idx="16">
                  <c:v>0.3122628927230835</c:v>
                </c:pt>
                <c:pt idx="17">
                  <c:v>0.16329164803028107</c:v>
                </c:pt>
                <c:pt idx="18">
                  <c:v>0.13149872422218323</c:v>
                </c:pt>
                <c:pt idx="19">
                  <c:v>0.11748839169740677</c:v>
                </c:pt>
                <c:pt idx="20">
                  <c:v>0.11558708548545837</c:v>
                </c:pt>
                <c:pt idx="21">
                  <c:v>0.12141367048025131</c:v>
                </c:pt>
                <c:pt idx="22">
                  <c:v>0.10979512333869934</c:v>
                </c:pt>
                <c:pt idx="23">
                  <c:v>8.6399652063846588E-2</c:v>
                </c:pt>
              </c:numCache>
            </c:numRef>
          </c:val>
          <c:smooth val="0"/>
        </c:ser>
        <c:ser>
          <c:idx val="19"/>
          <c:order val="19"/>
          <c:tx>
            <c:strRef>
              <c:f>'LIs Level (2)'!$C$21</c:f>
              <c:strCache>
                <c:ptCount val="1"/>
                <c:pt idx="0">
                  <c:v>cdh60 mean17</c:v>
                </c:pt>
              </c:strCache>
            </c:strRef>
          </c:tx>
          <c:spPr>
            <a:ln w="28575" cap="rnd">
              <a:solidFill>
                <a:schemeClr val="accent2">
                  <a:lumMod val="80000"/>
                </a:schemeClr>
              </a:solidFill>
              <a:round/>
            </a:ln>
            <a:effectLst/>
          </c:spPr>
          <c:marker>
            <c:symbol val="none"/>
          </c:marker>
          <c:val>
            <c:numRef>
              <c:f>'LIs Level (2)'!$D$21:$AA$21</c:f>
              <c:numCache>
                <c:formatCode>General</c:formatCode>
                <c:ptCount val="24"/>
                <c:pt idx="0">
                  <c:v>9.6954992040991783E-3</c:v>
                </c:pt>
                <c:pt idx="1">
                  <c:v>-5.8285207487642765E-3</c:v>
                </c:pt>
                <c:pt idx="2">
                  <c:v>-1.5893122181296349E-2</c:v>
                </c:pt>
                <c:pt idx="3">
                  <c:v>-2.2404929623007774E-2</c:v>
                </c:pt>
                <c:pt idx="4">
                  <c:v>-1.9586404785513878E-2</c:v>
                </c:pt>
                <c:pt idx="5">
                  <c:v>-2.7713321149349213E-2</c:v>
                </c:pt>
                <c:pt idx="6">
                  <c:v>-4.4342847540974617E-3</c:v>
                </c:pt>
                <c:pt idx="7">
                  <c:v>-7.256300188601017E-3</c:v>
                </c:pt>
                <c:pt idx="8">
                  <c:v>7.4769039638340473E-3</c:v>
                </c:pt>
                <c:pt idx="9">
                  <c:v>8.7660597637295723E-3</c:v>
                </c:pt>
                <c:pt idx="10">
                  <c:v>3.7449076771736145E-2</c:v>
                </c:pt>
                <c:pt idx="11">
                  <c:v>2.6369264349341393E-2</c:v>
                </c:pt>
                <c:pt idx="12">
                  <c:v>3.343040868639946E-2</c:v>
                </c:pt>
                <c:pt idx="13">
                  <c:v>0.18112677335739136</c:v>
                </c:pt>
                <c:pt idx="14">
                  <c:v>0.60335808992385864</c:v>
                </c:pt>
                <c:pt idx="15">
                  <c:v>0.59070861339569092</c:v>
                </c:pt>
                <c:pt idx="16">
                  <c:v>0.31188398599624634</c:v>
                </c:pt>
                <c:pt idx="17">
                  <c:v>0.16268667578697205</c:v>
                </c:pt>
                <c:pt idx="18">
                  <c:v>0.13064303994178772</c:v>
                </c:pt>
                <c:pt idx="19">
                  <c:v>0.11681916564702988</c:v>
                </c:pt>
                <c:pt idx="20">
                  <c:v>0.11426741629838943</c:v>
                </c:pt>
                <c:pt idx="21">
                  <c:v>0.11847279965877533</c:v>
                </c:pt>
                <c:pt idx="22">
                  <c:v>0.10793221741914749</c:v>
                </c:pt>
                <c:pt idx="23">
                  <c:v>8.5120350122451782E-2</c:v>
                </c:pt>
              </c:numCache>
            </c:numRef>
          </c:val>
          <c:smooth val="0"/>
        </c:ser>
        <c:ser>
          <c:idx val="20"/>
          <c:order val="20"/>
          <c:tx>
            <c:strRef>
              <c:f>'LIs Level (2)'!$C$22</c:f>
              <c:strCache>
                <c:ptCount val="1"/>
                <c:pt idx="0">
                  <c:v>cdh65 mean17</c:v>
                </c:pt>
              </c:strCache>
            </c:strRef>
          </c:tx>
          <c:spPr>
            <a:ln w="28575" cap="rnd">
              <a:solidFill>
                <a:schemeClr val="accent3">
                  <a:lumMod val="80000"/>
                </a:schemeClr>
              </a:solidFill>
              <a:round/>
            </a:ln>
            <a:effectLst/>
          </c:spPr>
          <c:marker>
            <c:symbol val="none"/>
          </c:marker>
          <c:val>
            <c:numRef>
              <c:f>'LIs Level (2)'!$D$22:$AA$22</c:f>
              <c:numCache>
                <c:formatCode>General</c:formatCode>
                <c:ptCount val="24"/>
                <c:pt idx="0">
                  <c:v>8.4469150751829147E-3</c:v>
                </c:pt>
                <c:pt idx="1">
                  <c:v>-7.343219593167305E-3</c:v>
                </c:pt>
                <c:pt idx="2">
                  <c:v>-1.6924330964684486E-2</c:v>
                </c:pt>
                <c:pt idx="3">
                  <c:v>-2.2182861343026161E-2</c:v>
                </c:pt>
                <c:pt idx="4">
                  <c:v>-1.9998619332909584E-2</c:v>
                </c:pt>
                <c:pt idx="5">
                  <c:v>-2.8058318421244621E-2</c:v>
                </c:pt>
                <c:pt idx="6">
                  <c:v>-4.9680368974804878E-3</c:v>
                </c:pt>
                <c:pt idx="7">
                  <c:v>-7.5469766743481159E-3</c:v>
                </c:pt>
                <c:pt idx="8">
                  <c:v>5.0986446440219879E-3</c:v>
                </c:pt>
                <c:pt idx="9">
                  <c:v>7.6243593357503414E-3</c:v>
                </c:pt>
                <c:pt idx="10">
                  <c:v>3.7491545081138611E-2</c:v>
                </c:pt>
                <c:pt idx="11">
                  <c:v>2.600894495844841E-2</c:v>
                </c:pt>
                <c:pt idx="12">
                  <c:v>3.3159691840410233E-2</c:v>
                </c:pt>
                <c:pt idx="13">
                  <c:v>0.1808132529258728</c:v>
                </c:pt>
                <c:pt idx="14">
                  <c:v>0.60270774364471436</c:v>
                </c:pt>
                <c:pt idx="15">
                  <c:v>0.59020769596099854</c:v>
                </c:pt>
                <c:pt idx="16">
                  <c:v>0.31160843372344971</c:v>
                </c:pt>
                <c:pt idx="17">
                  <c:v>0.1623610258102417</c:v>
                </c:pt>
                <c:pt idx="18">
                  <c:v>0.13030429184436798</c:v>
                </c:pt>
                <c:pt idx="19">
                  <c:v>0.11613891273736954</c:v>
                </c:pt>
                <c:pt idx="20">
                  <c:v>0.11286793649196625</c:v>
                </c:pt>
                <c:pt idx="21">
                  <c:v>0.11593911051750183</c:v>
                </c:pt>
                <c:pt idx="22">
                  <c:v>0.10536155104637146</c:v>
                </c:pt>
                <c:pt idx="23">
                  <c:v>8.1222370266914368E-2</c:v>
                </c:pt>
              </c:numCache>
            </c:numRef>
          </c:val>
          <c:smooth val="0"/>
        </c:ser>
        <c:dLbls>
          <c:showLegendKey val="0"/>
          <c:showVal val="0"/>
          <c:showCatName val="0"/>
          <c:showSerName val="0"/>
          <c:showPercent val="0"/>
          <c:showBubbleSize val="0"/>
        </c:dLbls>
        <c:smooth val="0"/>
        <c:axId val="737547552"/>
        <c:axId val="737548112"/>
      </c:lineChart>
      <c:catAx>
        <c:axId val="7375475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Hour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737548112"/>
        <c:crosses val="autoZero"/>
        <c:auto val="1"/>
        <c:lblAlgn val="ctr"/>
        <c:lblOffset val="100"/>
        <c:noMultiLvlLbl val="0"/>
      </c:catAx>
      <c:valAx>
        <c:axId val="7375481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Average per Customer Load</a:t>
                </a:r>
                <a:r>
                  <a:rPr lang="en-US" sz="1200" baseline="0"/>
                  <a:t> Impact (MW)</a:t>
                </a:r>
                <a:endParaRPr lang="en-US" sz="1200"/>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73754755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 Level (2)'!$C$2</c:f>
              <c:strCache>
                <c:ptCount val="1"/>
                <c:pt idx="0">
                  <c:v>cdh60 hdh60</c:v>
                </c:pt>
              </c:strCache>
            </c:strRef>
          </c:tx>
          <c:spPr>
            <a:ln w="28575" cap="rnd">
              <a:solidFill>
                <a:schemeClr val="accent1"/>
              </a:solidFill>
              <a:round/>
            </a:ln>
            <a:effectLst/>
          </c:spPr>
          <c:marker>
            <c:symbol val="none"/>
          </c:marker>
          <c:val>
            <c:numRef>
              <c:f>'LIs Level (2)'!$D$2:$AA$2</c:f>
              <c:numCache>
                <c:formatCode>General</c:formatCode>
                <c:ptCount val="24"/>
                <c:pt idx="0">
                  <c:v>4.9331625923514366E-3</c:v>
                </c:pt>
                <c:pt idx="1">
                  <c:v>1.2530811131000519E-2</c:v>
                </c:pt>
                <c:pt idx="2">
                  <c:v>1.8790310248732567E-2</c:v>
                </c:pt>
                <c:pt idx="3">
                  <c:v>5.6356558343395591E-4</c:v>
                </c:pt>
                <c:pt idx="4">
                  <c:v>-3.2392072025686502E-3</c:v>
                </c:pt>
                <c:pt idx="5">
                  <c:v>-6.0144541785120964E-3</c:v>
                </c:pt>
                <c:pt idx="6">
                  <c:v>3.7824199534952641E-3</c:v>
                </c:pt>
                <c:pt idx="7">
                  <c:v>-1.5885230153799057E-2</c:v>
                </c:pt>
                <c:pt idx="8">
                  <c:v>-2.3120570927858353E-2</c:v>
                </c:pt>
                <c:pt idx="9">
                  <c:v>1.6100790351629257E-2</c:v>
                </c:pt>
                <c:pt idx="10">
                  <c:v>3.4734431654214859E-2</c:v>
                </c:pt>
                <c:pt idx="11">
                  <c:v>3.913768008351326E-2</c:v>
                </c:pt>
                <c:pt idx="12">
                  <c:v>2.3336922749876976E-2</c:v>
                </c:pt>
                <c:pt idx="13">
                  <c:v>1.6240032389760017E-2</c:v>
                </c:pt>
                <c:pt idx="14">
                  <c:v>3.5389643162488937E-2</c:v>
                </c:pt>
                <c:pt idx="15">
                  <c:v>0.34779509902000427</c:v>
                </c:pt>
                <c:pt idx="16">
                  <c:v>0.44782629609107971</c:v>
                </c:pt>
                <c:pt idx="17">
                  <c:v>0.44903859496116638</c:v>
                </c:pt>
                <c:pt idx="18">
                  <c:v>0.44132810831069946</c:v>
                </c:pt>
                <c:pt idx="19">
                  <c:v>0.29153862595558167</c:v>
                </c:pt>
                <c:pt idx="20">
                  <c:v>0.11348532885313034</c:v>
                </c:pt>
                <c:pt idx="21">
                  <c:v>8.6826160550117493E-2</c:v>
                </c:pt>
                <c:pt idx="22">
                  <c:v>7.7933907508850098E-2</c:v>
                </c:pt>
                <c:pt idx="23">
                  <c:v>6.6126175224781036E-2</c:v>
                </c:pt>
              </c:numCache>
            </c:numRef>
          </c:val>
          <c:smooth val="0"/>
        </c:ser>
        <c:ser>
          <c:idx val="1"/>
          <c:order val="1"/>
          <c:tx>
            <c:strRef>
              <c:f>'LIs Level (2)'!$C$3</c:f>
              <c:strCache>
                <c:ptCount val="1"/>
                <c:pt idx="0">
                  <c:v>cdh65 hdh65</c:v>
                </c:pt>
              </c:strCache>
            </c:strRef>
          </c:tx>
          <c:spPr>
            <a:ln w="28575" cap="rnd">
              <a:solidFill>
                <a:schemeClr val="accent2"/>
              </a:solidFill>
              <a:round/>
            </a:ln>
            <a:effectLst/>
          </c:spPr>
          <c:marker>
            <c:symbol val="none"/>
          </c:marker>
          <c:val>
            <c:numRef>
              <c:f>'LIs Level (2)'!$D$3:$AA$3</c:f>
              <c:numCache>
                <c:formatCode>General</c:formatCode>
                <c:ptCount val="24"/>
                <c:pt idx="0">
                  <c:v>4.8919469118118286E-3</c:v>
                </c:pt>
                <c:pt idx="1">
                  <c:v>1.2506074272096157E-2</c:v>
                </c:pt>
                <c:pt idx="2">
                  <c:v>1.9130079075694084E-2</c:v>
                </c:pt>
                <c:pt idx="3">
                  <c:v>7.3112279642373323E-4</c:v>
                </c:pt>
                <c:pt idx="4">
                  <c:v>-3.2310343813151121E-3</c:v>
                </c:pt>
                <c:pt idx="5">
                  <c:v>-6.0063162818551064E-3</c:v>
                </c:pt>
                <c:pt idx="6">
                  <c:v>3.7905494682490826E-3</c:v>
                </c:pt>
                <c:pt idx="7">
                  <c:v>-1.6364209353923798E-2</c:v>
                </c:pt>
                <c:pt idx="8">
                  <c:v>-1.7785197123885155E-2</c:v>
                </c:pt>
                <c:pt idx="9">
                  <c:v>1.2983782216906548E-2</c:v>
                </c:pt>
                <c:pt idx="10">
                  <c:v>3.0566144734621048E-2</c:v>
                </c:pt>
                <c:pt idx="11">
                  <c:v>3.9206814020872116E-2</c:v>
                </c:pt>
                <c:pt idx="12">
                  <c:v>1.9135167822241783E-2</c:v>
                </c:pt>
                <c:pt idx="13">
                  <c:v>1.4163225889205933E-2</c:v>
                </c:pt>
                <c:pt idx="14">
                  <c:v>3.2010018825531006E-2</c:v>
                </c:pt>
                <c:pt idx="15">
                  <c:v>0.34933224320411682</c:v>
                </c:pt>
                <c:pt idx="16">
                  <c:v>0.44730794429779053</c:v>
                </c:pt>
                <c:pt idx="17">
                  <c:v>0.44886937737464905</c:v>
                </c:pt>
                <c:pt idx="18">
                  <c:v>0.44075006246566772</c:v>
                </c:pt>
                <c:pt idx="19">
                  <c:v>0.29094955325126648</c:v>
                </c:pt>
                <c:pt idx="20">
                  <c:v>0.11272920668125153</c:v>
                </c:pt>
                <c:pt idx="21">
                  <c:v>8.6923353374004364E-2</c:v>
                </c:pt>
                <c:pt idx="22">
                  <c:v>7.8318238258361816E-2</c:v>
                </c:pt>
                <c:pt idx="23">
                  <c:v>6.5472908318042755E-2</c:v>
                </c:pt>
              </c:numCache>
            </c:numRef>
          </c:val>
          <c:smooth val="0"/>
        </c:ser>
        <c:ser>
          <c:idx val="2"/>
          <c:order val="2"/>
          <c:tx>
            <c:strRef>
              <c:f>'LIs Level (2)'!$C$4</c:f>
              <c:strCache>
                <c:ptCount val="1"/>
                <c:pt idx="0">
                  <c:v>cdh60 cdh60_24ma hdh60 hdh60_24ma</c:v>
                </c:pt>
              </c:strCache>
            </c:strRef>
          </c:tx>
          <c:spPr>
            <a:ln w="28575" cap="rnd">
              <a:solidFill>
                <a:schemeClr val="accent3"/>
              </a:solidFill>
              <a:round/>
            </a:ln>
            <a:effectLst/>
          </c:spPr>
          <c:marker>
            <c:symbol val="none"/>
          </c:marker>
          <c:val>
            <c:numRef>
              <c:f>'LIs Level (2)'!$D$4:$AA$4</c:f>
              <c:numCache>
                <c:formatCode>General</c:formatCode>
                <c:ptCount val="24"/>
                <c:pt idx="0">
                  <c:v>1.1538499966263771E-3</c:v>
                </c:pt>
                <c:pt idx="1">
                  <c:v>9.235648438334465E-3</c:v>
                </c:pt>
                <c:pt idx="2">
                  <c:v>1.5731245279312134E-2</c:v>
                </c:pt>
                <c:pt idx="3">
                  <c:v>-1.2573731364682317E-3</c:v>
                </c:pt>
                <c:pt idx="4">
                  <c:v>-1.7652962123975158E-3</c:v>
                </c:pt>
                <c:pt idx="5">
                  <c:v>-6.0088196769356728E-3</c:v>
                </c:pt>
                <c:pt idx="6">
                  <c:v>2.6700054295361042E-3</c:v>
                </c:pt>
                <c:pt idx="7">
                  <c:v>-1.519315131008625E-2</c:v>
                </c:pt>
                <c:pt idx="8">
                  <c:v>-2.0258096978068352E-2</c:v>
                </c:pt>
                <c:pt idx="9">
                  <c:v>1.3694808818399906E-2</c:v>
                </c:pt>
                <c:pt idx="10">
                  <c:v>2.8582466766238213E-2</c:v>
                </c:pt>
                <c:pt idx="11">
                  <c:v>3.4795716404914856E-2</c:v>
                </c:pt>
                <c:pt idx="12">
                  <c:v>2.3945078253746033E-2</c:v>
                </c:pt>
                <c:pt idx="13">
                  <c:v>2.0377146080136299E-2</c:v>
                </c:pt>
                <c:pt idx="14">
                  <c:v>4.0554054081439972E-2</c:v>
                </c:pt>
                <c:pt idx="15">
                  <c:v>0.3533560037612915</c:v>
                </c:pt>
                <c:pt idx="16">
                  <c:v>0.4604770839214325</c:v>
                </c:pt>
                <c:pt idx="17">
                  <c:v>0.46370697021484375</c:v>
                </c:pt>
                <c:pt idx="18">
                  <c:v>0.45362856984138489</c:v>
                </c:pt>
                <c:pt idx="19">
                  <c:v>0.29747289419174194</c:v>
                </c:pt>
                <c:pt idx="20">
                  <c:v>0.11495371162891388</c:v>
                </c:pt>
                <c:pt idx="21">
                  <c:v>8.6722195148468018E-2</c:v>
                </c:pt>
                <c:pt idx="22">
                  <c:v>7.6961860060691833E-2</c:v>
                </c:pt>
                <c:pt idx="23">
                  <c:v>6.3570111989974976E-2</c:v>
                </c:pt>
              </c:numCache>
            </c:numRef>
          </c:val>
          <c:smooth val="0"/>
        </c:ser>
        <c:ser>
          <c:idx val="3"/>
          <c:order val="3"/>
          <c:tx>
            <c:strRef>
              <c:f>'LIs Level (2)'!$C$5</c:f>
              <c:strCache>
                <c:ptCount val="1"/>
                <c:pt idx="0">
                  <c:v>cdh65 cdh65_24ma hdh65 hdh65_24ma</c:v>
                </c:pt>
              </c:strCache>
            </c:strRef>
          </c:tx>
          <c:spPr>
            <a:ln w="28575" cap="rnd">
              <a:solidFill>
                <a:schemeClr val="accent4"/>
              </a:solidFill>
              <a:round/>
            </a:ln>
            <a:effectLst/>
          </c:spPr>
          <c:marker>
            <c:symbol val="none"/>
          </c:marker>
          <c:val>
            <c:numRef>
              <c:f>'LIs Level (2)'!$D$5:$AA$5</c:f>
              <c:numCache>
                <c:formatCode>General</c:formatCode>
                <c:ptCount val="24"/>
                <c:pt idx="0">
                  <c:v>-3.0264535453170538E-3</c:v>
                </c:pt>
                <c:pt idx="1">
                  <c:v>7.7973892912268639E-3</c:v>
                </c:pt>
                <c:pt idx="2">
                  <c:v>1.6187675297260284E-2</c:v>
                </c:pt>
                <c:pt idx="3">
                  <c:v>-9.7038544481620193E-4</c:v>
                </c:pt>
                <c:pt idx="4">
                  <c:v>-2.6114101056009531E-3</c:v>
                </c:pt>
                <c:pt idx="5">
                  <c:v>-5.3350073285400867E-3</c:v>
                </c:pt>
                <c:pt idx="6">
                  <c:v>3.9946092292666435E-3</c:v>
                </c:pt>
                <c:pt idx="7">
                  <c:v>-1.4764263294637203E-2</c:v>
                </c:pt>
                <c:pt idx="8">
                  <c:v>-9.0163266286253929E-3</c:v>
                </c:pt>
                <c:pt idx="9">
                  <c:v>1.7342843115329742E-2</c:v>
                </c:pt>
                <c:pt idx="10">
                  <c:v>2.5784596800804138E-2</c:v>
                </c:pt>
                <c:pt idx="11">
                  <c:v>3.5042691975831985E-2</c:v>
                </c:pt>
                <c:pt idx="12">
                  <c:v>1.9326604902744293E-2</c:v>
                </c:pt>
                <c:pt idx="13">
                  <c:v>1.7181506380438805E-2</c:v>
                </c:pt>
                <c:pt idx="14">
                  <c:v>3.6285620182752609E-2</c:v>
                </c:pt>
                <c:pt idx="15">
                  <c:v>0.3559185266494751</c:v>
                </c:pt>
                <c:pt idx="16">
                  <c:v>0.45979365706443787</c:v>
                </c:pt>
                <c:pt idx="17">
                  <c:v>0.46225965023040771</c:v>
                </c:pt>
                <c:pt idx="18">
                  <c:v>0.45624992251396179</c:v>
                </c:pt>
                <c:pt idx="19">
                  <c:v>0.30487683415412903</c:v>
                </c:pt>
                <c:pt idx="20">
                  <c:v>0.11933722347021103</c:v>
                </c:pt>
                <c:pt idx="21">
                  <c:v>9.0269580483436584E-2</c:v>
                </c:pt>
                <c:pt idx="22">
                  <c:v>7.7690161764621735E-2</c:v>
                </c:pt>
                <c:pt idx="23">
                  <c:v>6.2337245792150497E-2</c:v>
                </c:pt>
              </c:numCache>
            </c:numRef>
          </c:val>
          <c:smooth val="0"/>
        </c:ser>
        <c:ser>
          <c:idx val="4"/>
          <c:order val="4"/>
          <c:tx>
            <c:strRef>
              <c:f>'LIs Level (2)'!$C$6</c:f>
              <c:strCache>
                <c:ptCount val="1"/>
                <c:pt idx="0">
                  <c:v>cdh60 cdd60 hdh60 hdd60</c:v>
                </c:pt>
              </c:strCache>
            </c:strRef>
          </c:tx>
          <c:spPr>
            <a:ln w="57150" cap="rnd">
              <a:solidFill>
                <a:schemeClr val="accent5"/>
              </a:solidFill>
              <a:round/>
            </a:ln>
            <a:effectLst/>
          </c:spPr>
          <c:marker>
            <c:symbol val="none"/>
          </c:marker>
          <c:val>
            <c:numRef>
              <c:f>'LIs Level (2)'!$D$6:$AA$6</c:f>
              <c:numCache>
                <c:formatCode>General</c:formatCode>
                <c:ptCount val="24"/>
                <c:pt idx="0">
                  <c:v>9.5645611872896552E-4</c:v>
                </c:pt>
                <c:pt idx="1">
                  <c:v>6.3227950595319271E-3</c:v>
                </c:pt>
                <c:pt idx="2">
                  <c:v>1.3837522827088833E-2</c:v>
                </c:pt>
                <c:pt idx="3">
                  <c:v>-2.6682589668780565E-3</c:v>
                </c:pt>
                <c:pt idx="4">
                  <c:v>-3.8650671485811472E-3</c:v>
                </c:pt>
                <c:pt idx="5">
                  <c:v>-6.1324425041675568E-3</c:v>
                </c:pt>
                <c:pt idx="6">
                  <c:v>5.1320851780474186E-3</c:v>
                </c:pt>
                <c:pt idx="7">
                  <c:v>-8.1838769838213921E-3</c:v>
                </c:pt>
                <c:pt idx="8">
                  <c:v>-1.8643969669938087E-2</c:v>
                </c:pt>
                <c:pt idx="9">
                  <c:v>1.5072586946189404E-2</c:v>
                </c:pt>
                <c:pt idx="10">
                  <c:v>3.2510627061128616E-2</c:v>
                </c:pt>
                <c:pt idx="11">
                  <c:v>3.8115143775939941E-2</c:v>
                </c:pt>
                <c:pt idx="12">
                  <c:v>2.6971582323312759E-2</c:v>
                </c:pt>
                <c:pt idx="13">
                  <c:v>2.2251537069678307E-2</c:v>
                </c:pt>
                <c:pt idx="14">
                  <c:v>4.2548198252916336E-2</c:v>
                </c:pt>
                <c:pt idx="15">
                  <c:v>0.35075923800468445</c:v>
                </c:pt>
                <c:pt idx="16">
                  <c:v>0.45576909184455872</c:v>
                </c:pt>
                <c:pt idx="17">
                  <c:v>0.45823302865028381</c:v>
                </c:pt>
                <c:pt idx="18">
                  <c:v>0.4517015814781189</c:v>
                </c:pt>
                <c:pt idx="19">
                  <c:v>0.29848518967628479</c:v>
                </c:pt>
                <c:pt idx="20">
                  <c:v>0.12066952139139175</c:v>
                </c:pt>
                <c:pt idx="21">
                  <c:v>9.1622136533260345E-2</c:v>
                </c:pt>
                <c:pt idx="22">
                  <c:v>8.0671146512031555E-2</c:v>
                </c:pt>
                <c:pt idx="23">
                  <c:v>6.5773867070674896E-2</c:v>
                </c:pt>
              </c:numCache>
            </c:numRef>
          </c:val>
          <c:smooth val="0"/>
        </c:ser>
        <c:ser>
          <c:idx val="5"/>
          <c:order val="5"/>
          <c:tx>
            <c:strRef>
              <c:f>'LIs Level (2)'!$C$7</c:f>
              <c:strCache>
                <c:ptCount val="1"/>
                <c:pt idx="0">
                  <c:v>cdh65 cdd65 hdh65 hdd65</c:v>
                </c:pt>
              </c:strCache>
            </c:strRef>
          </c:tx>
          <c:spPr>
            <a:ln w="28575" cap="rnd">
              <a:solidFill>
                <a:schemeClr val="accent6"/>
              </a:solidFill>
              <a:round/>
            </a:ln>
            <a:effectLst/>
          </c:spPr>
          <c:marker>
            <c:symbol val="none"/>
          </c:marker>
          <c:val>
            <c:numRef>
              <c:f>'LIs Level (2)'!$D$7:$AA$7</c:f>
              <c:numCache>
                <c:formatCode>General</c:formatCode>
                <c:ptCount val="24"/>
                <c:pt idx="0">
                  <c:v>4.4795284047722816E-3</c:v>
                </c:pt>
                <c:pt idx="1">
                  <c:v>1.1787167750298977E-2</c:v>
                </c:pt>
                <c:pt idx="2">
                  <c:v>1.8685510382056236E-2</c:v>
                </c:pt>
                <c:pt idx="3">
                  <c:v>7.2644191095605493E-4</c:v>
                </c:pt>
                <c:pt idx="4">
                  <c:v>-3.5074215847998857E-3</c:v>
                </c:pt>
                <c:pt idx="5">
                  <c:v>-5.9880758635699749E-3</c:v>
                </c:pt>
                <c:pt idx="6">
                  <c:v>4.7300979495048523E-3</c:v>
                </c:pt>
                <c:pt idx="7">
                  <c:v>-1.5436497516930103E-2</c:v>
                </c:pt>
                <c:pt idx="8">
                  <c:v>-1.5229752287268639E-2</c:v>
                </c:pt>
                <c:pt idx="9">
                  <c:v>1.3233967125415802E-2</c:v>
                </c:pt>
                <c:pt idx="10">
                  <c:v>3.1952723860740662E-2</c:v>
                </c:pt>
                <c:pt idx="11">
                  <c:v>4.4533722102642059E-2</c:v>
                </c:pt>
                <c:pt idx="12">
                  <c:v>1.7840983346104622E-2</c:v>
                </c:pt>
                <c:pt idx="13">
                  <c:v>1.5291625633835793E-2</c:v>
                </c:pt>
                <c:pt idx="14">
                  <c:v>3.4377485513687134E-2</c:v>
                </c:pt>
                <c:pt idx="15">
                  <c:v>0.3481152355670929</c:v>
                </c:pt>
                <c:pt idx="16">
                  <c:v>0.45035985112190247</c:v>
                </c:pt>
                <c:pt idx="17">
                  <c:v>0.45195311307907104</c:v>
                </c:pt>
                <c:pt idx="18">
                  <c:v>0.44322562217712402</c:v>
                </c:pt>
                <c:pt idx="19">
                  <c:v>0.29136598110198975</c:v>
                </c:pt>
                <c:pt idx="20">
                  <c:v>0.11425298452377319</c:v>
                </c:pt>
                <c:pt idx="21">
                  <c:v>8.6542434990406036E-2</c:v>
                </c:pt>
                <c:pt idx="22">
                  <c:v>7.6457604765892029E-2</c:v>
                </c:pt>
                <c:pt idx="23">
                  <c:v>6.2263324856758118E-2</c:v>
                </c:pt>
              </c:numCache>
            </c:numRef>
          </c:val>
          <c:smooth val="0"/>
        </c:ser>
        <c:ser>
          <c:idx val="6"/>
          <c:order val="6"/>
          <c:tx>
            <c:strRef>
              <c:f>'LIs Level (2)'!$C$8</c:f>
              <c:strCache>
                <c:ptCount val="1"/>
                <c:pt idx="0">
                  <c:v>cdh60 lagcdd60 hdh60 laghdd60</c:v>
                </c:pt>
              </c:strCache>
            </c:strRef>
          </c:tx>
          <c:spPr>
            <a:ln w="28575" cap="rnd">
              <a:solidFill>
                <a:schemeClr val="accent1">
                  <a:lumMod val="60000"/>
                </a:schemeClr>
              </a:solidFill>
              <a:round/>
            </a:ln>
            <a:effectLst/>
          </c:spPr>
          <c:marker>
            <c:symbol val="none"/>
          </c:marker>
          <c:val>
            <c:numRef>
              <c:f>'LIs Level (2)'!$D$8:$AA$8</c:f>
              <c:numCache>
                <c:formatCode>General</c:formatCode>
                <c:ptCount val="24"/>
                <c:pt idx="0">
                  <c:v>-1.2770810863003135E-3</c:v>
                </c:pt>
                <c:pt idx="1">
                  <c:v>6.5358667634427547E-3</c:v>
                </c:pt>
                <c:pt idx="2">
                  <c:v>1.1238186620175838E-2</c:v>
                </c:pt>
                <c:pt idx="3">
                  <c:v>-4.8481426201760769E-3</c:v>
                </c:pt>
                <c:pt idx="4">
                  <c:v>-2.7831497136503458E-3</c:v>
                </c:pt>
                <c:pt idx="5">
                  <c:v>-4.6620899811387062E-3</c:v>
                </c:pt>
                <c:pt idx="6">
                  <c:v>4.0962588973343372E-3</c:v>
                </c:pt>
                <c:pt idx="7">
                  <c:v>-1.0537011548876762E-2</c:v>
                </c:pt>
                <c:pt idx="8">
                  <c:v>-1.4136531390249729E-2</c:v>
                </c:pt>
                <c:pt idx="9">
                  <c:v>2.0511023700237274E-2</c:v>
                </c:pt>
                <c:pt idx="10">
                  <c:v>3.5150937736034393E-2</c:v>
                </c:pt>
                <c:pt idx="11">
                  <c:v>4.0821067988872528E-2</c:v>
                </c:pt>
                <c:pt idx="12">
                  <c:v>2.6204399764537811E-2</c:v>
                </c:pt>
                <c:pt idx="13">
                  <c:v>1.9565276801586151E-2</c:v>
                </c:pt>
                <c:pt idx="14">
                  <c:v>3.8148313760757446E-2</c:v>
                </c:pt>
                <c:pt idx="15">
                  <c:v>0.35712409019470215</c:v>
                </c:pt>
                <c:pt idx="16">
                  <c:v>0.45991727709770203</c:v>
                </c:pt>
                <c:pt idx="17">
                  <c:v>0.46325352787971497</c:v>
                </c:pt>
                <c:pt idx="18">
                  <c:v>0.45313689112663269</c:v>
                </c:pt>
                <c:pt idx="19">
                  <c:v>0.2948305606842041</c:v>
                </c:pt>
                <c:pt idx="20">
                  <c:v>0.11505919694900513</c:v>
                </c:pt>
                <c:pt idx="21">
                  <c:v>8.8747031986713409E-2</c:v>
                </c:pt>
                <c:pt idx="22">
                  <c:v>7.7809557318687439E-2</c:v>
                </c:pt>
                <c:pt idx="23">
                  <c:v>6.1856869608163834E-2</c:v>
                </c:pt>
              </c:numCache>
            </c:numRef>
          </c:val>
          <c:smooth val="0"/>
        </c:ser>
        <c:ser>
          <c:idx val="7"/>
          <c:order val="7"/>
          <c:tx>
            <c:strRef>
              <c:f>'LIs Level (2)'!$C$9</c:f>
              <c:strCache>
                <c:ptCount val="1"/>
                <c:pt idx="0">
                  <c:v>cdh65 lagcdd65 hdh65 laghdd65</c:v>
                </c:pt>
              </c:strCache>
            </c:strRef>
          </c:tx>
          <c:spPr>
            <a:ln w="28575" cap="rnd">
              <a:solidFill>
                <a:schemeClr val="accent2">
                  <a:lumMod val="60000"/>
                </a:schemeClr>
              </a:solidFill>
              <a:round/>
            </a:ln>
            <a:effectLst/>
          </c:spPr>
          <c:marker>
            <c:symbol val="none"/>
          </c:marker>
          <c:val>
            <c:numRef>
              <c:f>'LIs Level (2)'!$D$9:$AA$9</c:f>
              <c:numCache>
                <c:formatCode>General</c:formatCode>
                <c:ptCount val="24"/>
                <c:pt idx="0">
                  <c:v>-3.1971405260264874E-3</c:v>
                </c:pt>
                <c:pt idx="1">
                  <c:v>6.9064539857208729E-3</c:v>
                </c:pt>
                <c:pt idx="2">
                  <c:v>1.4123489148914814E-2</c:v>
                </c:pt>
                <c:pt idx="3">
                  <c:v>-2.9009217396378517E-3</c:v>
                </c:pt>
                <c:pt idx="4">
                  <c:v>-2.4841653648763895E-3</c:v>
                </c:pt>
                <c:pt idx="5">
                  <c:v>-4.1569280438125134E-3</c:v>
                </c:pt>
                <c:pt idx="6">
                  <c:v>6.0401633381843567E-3</c:v>
                </c:pt>
                <c:pt idx="7">
                  <c:v>-1.3531846925616264E-2</c:v>
                </c:pt>
                <c:pt idx="8">
                  <c:v>-7.491567637771368E-3</c:v>
                </c:pt>
                <c:pt idx="9">
                  <c:v>1.9883396103978157E-2</c:v>
                </c:pt>
                <c:pt idx="10">
                  <c:v>2.9860703274607658E-2</c:v>
                </c:pt>
                <c:pt idx="11">
                  <c:v>3.5708516836166382E-2</c:v>
                </c:pt>
                <c:pt idx="12">
                  <c:v>1.7971906810998917E-2</c:v>
                </c:pt>
                <c:pt idx="13">
                  <c:v>1.4496535062789917E-2</c:v>
                </c:pt>
                <c:pt idx="14">
                  <c:v>3.3373624086380005E-2</c:v>
                </c:pt>
                <c:pt idx="15">
                  <c:v>0.35528984665870667</c:v>
                </c:pt>
                <c:pt idx="16">
                  <c:v>0.45815324783325195</c:v>
                </c:pt>
                <c:pt idx="17">
                  <c:v>0.46007657051086426</c:v>
                </c:pt>
                <c:pt idx="18">
                  <c:v>0.45119813084602356</c:v>
                </c:pt>
                <c:pt idx="19">
                  <c:v>0.29517850279808044</c:v>
                </c:pt>
                <c:pt idx="20">
                  <c:v>0.11443957686424255</c:v>
                </c:pt>
                <c:pt idx="21">
                  <c:v>8.641410619020462E-2</c:v>
                </c:pt>
                <c:pt idx="22">
                  <c:v>7.4797675013542175E-2</c:v>
                </c:pt>
                <c:pt idx="23">
                  <c:v>5.7697270065546036E-2</c:v>
                </c:pt>
              </c:numCache>
            </c:numRef>
          </c:val>
          <c:smooth val="0"/>
        </c:ser>
        <c:ser>
          <c:idx val="8"/>
          <c:order val="8"/>
          <c:tx>
            <c:strRef>
              <c:f>'LIs Level (2)'!$C$10</c:f>
              <c:strCache>
                <c:ptCount val="1"/>
                <c:pt idx="0">
                  <c:v>mean17</c:v>
                </c:pt>
              </c:strCache>
            </c:strRef>
          </c:tx>
          <c:spPr>
            <a:ln w="28575" cap="rnd">
              <a:solidFill>
                <a:schemeClr val="accent3">
                  <a:lumMod val="60000"/>
                </a:schemeClr>
              </a:solidFill>
              <a:round/>
            </a:ln>
            <a:effectLst/>
          </c:spPr>
          <c:marker>
            <c:symbol val="none"/>
          </c:marker>
          <c:val>
            <c:numRef>
              <c:f>'LIs Level (2)'!$D$10:$AA$10</c:f>
              <c:numCache>
                <c:formatCode>General</c:formatCode>
                <c:ptCount val="24"/>
                <c:pt idx="0">
                  <c:v>3.9237020537257195E-3</c:v>
                </c:pt>
                <c:pt idx="1">
                  <c:v>1.1961359530687332E-2</c:v>
                </c:pt>
                <c:pt idx="2">
                  <c:v>1.9067093729972839E-2</c:v>
                </c:pt>
                <c:pt idx="3">
                  <c:v>-2.2551002621185035E-4</c:v>
                </c:pt>
                <c:pt idx="4">
                  <c:v>-4.0071308612823486E-3</c:v>
                </c:pt>
                <c:pt idx="5">
                  <c:v>-5.6940293870866299E-3</c:v>
                </c:pt>
                <c:pt idx="6">
                  <c:v>3.6384225822985172E-3</c:v>
                </c:pt>
                <c:pt idx="7">
                  <c:v>-1.6419786959886551E-2</c:v>
                </c:pt>
                <c:pt idx="8">
                  <c:v>-1.8282020464539528E-2</c:v>
                </c:pt>
                <c:pt idx="9">
                  <c:v>1.4070235192775726E-2</c:v>
                </c:pt>
                <c:pt idx="10">
                  <c:v>2.567979134619236E-2</c:v>
                </c:pt>
                <c:pt idx="11">
                  <c:v>2.9344463720917702E-2</c:v>
                </c:pt>
                <c:pt idx="12">
                  <c:v>1.2199131771922112E-2</c:v>
                </c:pt>
                <c:pt idx="13">
                  <c:v>1.0012855753302574E-2</c:v>
                </c:pt>
                <c:pt idx="14">
                  <c:v>2.824883908033371E-2</c:v>
                </c:pt>
                <c:pt idx="15">
                  <c:v>0.35684016346931458</c:v>
                </c:pt>
                <c:pt idx="16">
                  <c:v>0.45442348718643188</c:v>
                </c:pt>
                <c:pt idx="17">
                  <c:v>0.45197984576225281</c:v>
                </c:pt>
                <c:pt idx="18">
                  <c:v>0.44219335913658142</c:v>
                </c:pt>
                <c:pt idx="19">
                  <c:v>0.29115033149719238</c:v>
                </c:pt>
                <c:pt idx="20">
                  <c:v>0.11201079189777374</c:v>
                </c:pt>
                <c:pt idx="21">
                  <c:v>8.4430739283561707E-2</c:v>
                </c:pt>
                <c:pt idx="22">
                  <c:v>7.4654929339885712E-2</c:v>
                </c:pt>
                <c:pt idx="23">
                  <c:v>6.1798565089702606E-2</c:v>
                </c:pt>
              </c:numCache>
            </c:numRef>
          </c:val>
          <c:smooth val="0"/>
        </c:ser>
        <c:ser>
          <c:idx val="9"/>
          <c:order val="9"/>
          <c:tx>
            <c:strRef>
              <c:f>'LIs Level (2)'!$C$11</c:f>
              <c:strCache>
                <c:ptCount val="1"/>
                <c:pt idx="0">
                  <c:v>mean17 cdh60 hdh60</c:v>
                </c:pt>
              </c:strCache>
            </c:strRef>
          </c:tx>
          <c:spPr>
            <a:ln w="28575" cap="rnd">
              <a:solidFill>
                <a:schemeClr val="accent4">
                  <a:lumMod val="60000"/>
                </a:schemeClr>
              </a:solidFill>
              <a:round/>
            </a:ln>
            <a:effectLst/>
          </c:spPr>
          <c:marker>
            <c:symbol val="none"/>
          </c:marker>
          <c:val>
            <c:numRef>
              <c:f>'LIs Level (2)'!$D$11:$AA$11</c:f>
              <c:numCache>
                <c:formatCode>General</c:formatCode>
                <c:ptCount val="24"/>
                <c:pt idx="0">
                  <c:v>5.6057036854326725E-3</c:v>
                </c:pt>
                <c:pt idx="1">
                  <c:v>1.1921844445168972E-2</c:v>
                </c:pt>
                <c:pt idx="2">
                  <c:v>1.8226267769932747E-2</c:v>
                </c:pt>
                <c:pt idx="3">
                  <c:v>6.4066826598718762E-4</c:v>
                </c:pt>
                <c:pt idx="4">
                  <c:v>-4.1095511987805367E-3</c:v>
                </c:pt>
                <c:pt idx="5">
                  <c:v>-6.702289916574955E-3</c:v>
                </c:pt>
                <c:pt idx="6">
                  <c:v>4.5277350582182407E-3</c:v>
                </c:pt>
                <c:pt idx="7">
                  <c:v>-1.5604812651872635E-2</c:v>
                </c:pt>
                <c:pt idx="8">
                  <c:v>-2.3460080847144127E-2</c:v>
                </c:pt>
                <c:pt idx="9">
                  <c:v>1.6840284690260887E-2</c:v>
                </c:pt>
                <c:pt idx="10">
                  <c:v>3.142865002155304E-2</c:v>
                </c:pt>
                <c:pt idx="11">
                  <c:v>3.7724945694208145E-2</c:v>
                </c:pt>
                <c:pt idx="12">
                  <c:v>2.6353782042860985E-2</c:v>
                </c:pt>
                <c:pt idx="13">
                  <c:v>2.1538045257329941E-2</c:v>
                </c:pt>
                <c:pt idx="14">
                  <c:v>4.1076797991991043E-2</c:v>
                </c:pt>
                <c:pt idx="15">
                  <c:v>0.34948208928108215</c:v>
                </c:pt>
                <c:pt idx="16">
                  <c:v>0.45351171493530273</c:v>
                </c:pt>
                <c:pt idx="17">
                  <c:v>0.45394563674926758</c:v>
                </c:pt>
                <c:pt idx="18">
                  <c:v>0.44627082347869873</c:v>
                </c:pt>
                <c:pt idx="19">
                  <c:v>0.2932874858379364</c:v>
                </c:pt>
                <c:pt idx="20">
                  <c:v>0.11340545117855072</c:v>
                </c:pt>
                <c:pt idx="21">
                  <c:v>8.6598314344882965E-2</c:v>
                </c:pt>
                <c:pt idx="22">
                  <c:v>7.7013291418552399E-2</c:v>
                </c:pt>
                <c:pt idx="23">
                  <c:v>6.3822217285633087E-2</c:v>
                </c:pt>
              </c:numCache>
            </c:numRef>
          </c:val>
          <c:smooth val="0"/>
        </c:ser>
        <c:ser>
          <c:idx val="10"/>
          <c:order val="10"/>
          <c:tx>
            <c:strRef>
              <c:f>'LIs Level (2)'!$C$12</c:f>
              <c:strCache>
                <c:ptCount val="1"/>
                <c:pt idx="0">
                  <c:v>mean17 cdh65 hdh65</c:v>
                </c:pt>
              </c:strCache>
            </c:strRef>
          </c:tx>
          <c:spPr>
            <a:ln w="28575" cap="rnd">
              <a:solidFill>
                <a:schemeClr val="accent5">
                  <a:lumMod val="60000"/>
                </a:schemeClr>
              </a:solidFill>
              <a:round/>
            </a:ln>
            <a:effectLst/>
          </c:spPr>
          <c:marker>
            <c:symbol val="none"/>
          </c:marker>
          <c:val>
            <c:numRef>
              <c:f>'LIs Level (2)'!$D$12:$AA$12</c:f>
              <c:numCache>
                <c:formatCode>General</c:formatCode>
                <c:ptCount val="24"/>
                <c:pt idx="0">
                  <c:v>5.4910974577069283E-3</c:v>
                </c:pt>
                <c:pt idx="1">
                  <c:v>1.1834690347313881E-2</c:v>
                </c:pt>
                <c:pt idx="2">
                  <c:v>1.8370773643255234E-2</c:v>
                </c:pt>
                <c:pt idx="3">
                  <c:v>7.3012051871046424E-4</c:v>
                </c:pt>
                <c:pt idx="4">
                  <c:v>-4.0915459394454956E-3</c:v>
                </c:pt>
                <c:pt idx="5">
                  <c:v>-6.6844071261584759E-3</c:v>
                </c:pt>
                <c:pt idx="6">
                  <c:v>4.5456350781023502E-3</c:v>
                </c:pt>
                <c:pt idx="7">
                  <c:v>-1.5813888981938362E-2</c:v>
                </c:pt>
                <c:pt idx="8">
                  <c:v>-1.7769701778888702E-2</c:v>
                </c:pt>
                <c:pt idx="9">
                  <c:v>1.4449799433350563E-2</c:v>
                </c:pt>
                <c:pt idx="10">
                  <c:v>2.7450317516922951E-2</c:v>
                </c:pt>
                <c:pt idx="11">
                  <c:v>3.7764705717563629E-2</c:v>
                </c:pt>
                <c:pt idx="12">
                  <c:v>1.9789421930909157E-2</c:v>
                </c:pt>
                <c:pt idx="13">
                  <c:v>1.7216894775629044E-2</c:v>
                </c:pt>
                <c:pt idx="14">
                  <c:v>3.5581637173891068E-2</c:v>
                </c:pt>
                <c:pt idx="15">
                  <c:v>0.35096067190170288</c:v>
                </c:pt>
                <c:pt idx="16">
                  <c:v>0.45206499099731445</c:v>
                </c:pt>
                <c:pt idx="17">
                  <c:v>0.45284882187843323</c:v>
                </c:pt>
                <c:pt idx="18">
                  <c:v>0.44379305839538574</c:v>
                </c:pt>
                <c:pt idx="19">
                  <c:v>0.29148989915847778</c:v>
                </c:pt>
                <c:pt idx="20">
                  <c:v>0.11248037219047546</c:v>
                </c:pt>
                <c:pt idx="21">
                  <c:v>8.6699441075325012E-2</c:v>
                </c:pt>
                <c:pt idx="22">
                  <c:v>7.755444198846817E-2</c:v>
                </c:pt>
                <c:pt idx="23">
                  <c:v>6.3436932861804962E-2</c:v>
                </c:pt>
              </c:numCache>
            </c:numRef>
          </c:val>
          <c:smooth val="0"/>
        </c:ser>
        <c:dLbls>
          <c:showLegendKey val="0"/>
          <c:showVal val="0"/>
          <c:showCatName val="0"/>
          <c:showSerName val="0"/>
          <c:showPercent val="0"/>
          <c:showBubbleSize val="0"/>
        </c:dLbls>
        <c:smooth val="0"/>
        <c:axId val="737555952"/>
        <c:axId val="737556512"/>
      </c:lineChart>
      <c:catAx>
        <c:axId val="7375559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Hour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737556512"/>
        <c:crosses val="autoZero"/>
        <c:auto val="1"/>
        <c:lblAlgn val="ctr"/>
        <c:lblOffset val="100"/>
        <c:noMultiLvlLbl val="0"/>
      </c:catAx>
      <c:valAx>
        <c:axId val="7375565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Average per Customer Load Impact (MW)</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73755595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'LIs Level (2)'!$C$2</c:f>
              <c:strCache>
                <c:ptCount val="1"/>
                <c:pt idx="0">
                  <c:v>cdh60 hdh60</c:v>
                </c:pt>
              </c:strCache>
            </c:strRef>
          </c:tx>
          <c:spPr>
            <a:ln w="28575" cap="rnd">
              <a:solidFill>
                <a:schemeClr val="accent1"/>
              </a:solidFill>
              <a:round/>
            </a:ln>
            <a:effectLst/>
          </c:spPr>
          <c:marker>
            <c:symbol val="none"/>
          </c:marker>
          <c:val>
            <c:numRef>
              <c:f>'LIs Level (2)'!$D$2:$AA$2</c:f>
              <c:numCache>
                <c:formatCode>General</c:formatCode>
                <c:ptCount val="24"/>
                <c:pt idx="0">
                  <c:v>4.8562396317720413E-2</c:v>
                </c:pt>
                <c:pt idx="1">
                  <c:v>3.1645610928535461E-2</c:v>
                </c:pt>
                <c:pt idx="2">
                  <c:v>2.4537656456232071E-2</c:v>
                </c:pt>
                <c:pt idx="3">
                  <c:v>2.7700629085302353E-2</c:v>
                </c:pt>
                <c:pt idx="4">
                  <c:v>1.2609651312232018E-2</c:v>
                </c:pt>
                <c:pt idx="5">
                  <c:v>1.8816810101270676E-2</c:v>
                </c:pt>
                <c:pt idx="6">
                  <c:v>9.1629400849342346E-3</c:v>
                </c:pt>
                <c:pt idx="7">
                  <c:v>-7.6929670758545399E-3</c:v>
                </c:pt>
                <c:pt idx="8">
                  <c:v>-2.707696333527565E-2</c:v>
                </c:pt>
                <c:pt idx="9">
                  <c:v>-1.6943406313657761E-2</c:v>
                </c:pt>
                <c:pt idx="10">
                  <c:v>2.5824445765465498E-3</c:v>
                </c:pt>
                <c:pt idx="11">
                  <c:v>-1.1249302886426449E-2</c:v>
                </c:pt>
                <c:pt idx="12">
                  <c:v>-5.3117247298359871E-3</c:v>
                </c:pt>
                <c:pt idx="13">
                  <c:v>-7.4775880202651024E-3</c:v>
                </c:pt>
                <c:pt idx="14">
                  <c:v>0.36324813961982727</c:v>
                </c:pt>
                <c:pt idx="15">
                  <c:v>0.96639138460159302</c:v>
                </c:pt>
                <c:pt idx="16">
                  <c:v>0.98793911933898926</c:v>
                </c:pt>
                <c:pt idx="17">
                  <c:v>1.0214406251907349</c:v>
                </c:pt>
                <c:pt idx="18">
                  <c:v>1.0180239677429199</c:v>
                </c:pt>
                <c:pt idx="19">
                  <c:v>0.89573073387145996</c:v>
                </c:pt>
                <c:pt idx="20">
                  <c:v>0.61142289638519287</c:v>
                </c:pt>
                <c:pt idx="21">
                  <c:v>0.43842178583145142</c:v>
                </c:pt>
                <c:pt idx="22">
                  <c:v>0.3670332133769989</c:v>
                </c:pt>
                <c:pt idx="23">
                  <c:v>0.31877374649047852</c:v>
                </c:pt>
              </c:numCache>
            </c:numRef>
          </c:val>
          <c:smooth val="0"/>
        </c:ser>
        <c:ser>
          <c:idx val="1"/>
          <c:order val="1"/>
          <c:tx>
            <c:strRef>
              <c:f>'LIs Level (2)'!$C$3</c:f>
              <c:strCache>
                <c:ptCount val="1"/>
                <c:pt idx="0">
                  <c:v>cdh65 hdh65</c:v>
                </c:pt>
              </c:strCache>
            </c:strRef>
          </c:tx>
          <c:spPr>
            <a:ln w="28575" cap="rnd">
              <a:solidFill>
                <a:schemeClr val="accent2"/>
              </a:solidFill>
              <a:round/>
            </a:ln>
            <a:effectLst/>
          </c:spPr>
          <c:marker>
            <c:symbol val="none"/>
          </c:marker>
          <c:val>
            <c:numRef>
              <c:f>'LIs Level (2)'!$D$3:$AA$3</c:f>
              <c:numCache>
                <c:formatCode>General</c:formatCode>
                <c:ptCount val="24"/>
                <c:pt idx="0">
                  <c:v>4.7278802841901779E-2</c:v>
                </c:pt>
                <c:pt idx="1">
                  <c:v>3.1115489080548286E-2</c:v>
                </c:pt>
                <c:pt idx="2">
                  <c:v>2.4221042171120644E-2</c:v>
                </c:pt>
                <c:pt idx="3">
                  <c:v>2.7421832084655762E-2</c:v>
                </c:pt>
                <c:pt idx="4">
                  <c:v>1.2351058423519135E-2</c:v>
                </c:pt>
                <c:pt idx="5">
                  <c:v>1.8493726849555969E-2</c:v>
                </c:pt>
                <c:pt idx="6">
                  <c:v>8.8461833074688911E-3</c:v>
                </c:pt>
                <c:pt idx="7">
                  <c:v>-7.914968766272068E-3</c:v>
                </c:pt>
                <c:pt idx="8">
                  <c:v>-2.8547748923301697E-2</c:v>
                </c:pt>
                <c:pt idx="9">
                  <c:v>-2.0796462893486023E-2</c:v>
                </c:pt>
                <c:pt idx="10">
                  <c:v>1.1224929476156831E-3</c:v>
                </c:pt>
                <c:pt idx="11">
                  <c:v>-7.7280872501432896E-3</c:v>
                </c:pt>
                <c:pt idx="12">
                  <c:v>-4.7473092563450336E-3</c:v>
                </c:pt>
                <c:pt idx="13">
                  <c:v>-2.4289176799356937E-3</c:v>
                </c:pt>
                <c:pt idx="14">
                  <c:v>0.37212610244750977</c:v>
                </c:pt>
                <c:pt idx="15">
                  <c:v>0.97805392742156982</c:v>
                </c:pt>
                <c:pt idx="16">
                  <c:v>0.99449843168258667</c:v>
                </c:pt>
                <c:pt idx="17">
                  <c:v>1.008844256401062</c:v>
                </c:pt>
                <c:pt idx="18">
                  <c:v>1.0077911615371704</c:v>
                </c:pt>
                <c:pt idx="19">
                  <c:v>0.89492690563201904</c:v>
                </c:pt>
                <c:pt idx="20">
                  <c:v>0.60784691572189331</c:v>
                </c:pt>
                <c:pt idx="21">
                  <c:v>0.43681123852729797</c:v>
                </c:pt>
                <c:pt idx="22">
                  <c:v>0.36443400382995605</c:v>
                </c:pt>
                <c:pt idx="23">
                  <c:v>0.31570708751678467</c:v>
                </c:pt>
              </c:numCache>
            </c:numRef>
          </c:val>
          <c:smooth val="0"/>
        </c:ser>
        <c:ser>
          <c:idx val="2"/>
          <c:order val="2"/>
          <c:tx>
            <c:strRef>
              <c:f>'LIs Level (2)'!$C$4</c:f>
              <c:strCache>
                <c:ptCount val="1"/>
                <c:pt idx="0">
                  <c:v>cdh60 cdh60_24ma hdh60 hdh60_24ma</c:v>
                </c:pt>
              </c:strCache>
            </c:strRef>
          </c:tx>
          <c:spPr>
            <a:ln w="28575" cap="rnd">
              <a:solidFill>
                <a:schemeClr val="accent3"/>
              </a:solidFill>
              <a:round/>
            </a:ln>
            <a:effectLst/>
          </c:spPr>
          <c:marker>
            <c:symbol val="none"/>
          </c:marker>
          <c:val>
            <c:numRef>
              <c:f>'LIs Level (2)'!$D$4:$AA$4</c:f>
              <c:numCache>
                <c:formatCode>General</c:formatCode>
                <c:ptCount val="24"/>
                <c:pt idx="0">
                  <c:v>5.0701949745416641E-2</c:v>
                </c:pt>
                <c:pt idx="1">
                  <c:v>3.387119248509407E-2</c:v>
                </c:pt>
                <c:pt idx="2">
                  <c:v>2.6652226224541664E-2</c:v>
                </c:pt>
                <c:pt idx="3">
                  <c:v>2.9727201908826828E-2</c:v>
                </c:pt>
                <c:pt idx="4">
                  <c:v>1.7277788370847702E-2</c:v>
                </c:pt>
                <c:pt idx="5">
                  <c:v>2.8408261016011238E-2</c:v>
                </c:pt>
                <c:pt idx="6">
                  <c:v>1.7532413825392723E-2</c:v>
                </c:pt>
                <c:pt idx="7">
                  <c:v>-5.2134873112663627E-4</c:v>
                </c:pt>
                <c:pt idx="8">
                  <c:v>-2.2503526881337166E-2</c:v>
                </c:pt>
                <c:pt idx="9">
                  <c:v>-1.5776069834828377E-2</c:v>
                </c:pt>
                <c:pt idx="10">
                  <c:v>4.0922802872955799E-3</c:v>
                </c:pt>
                <c:pt idx="11">
                  <c:v>-1.2522544711828232E-2</c:v>
                </c:pt>
                <c:pt idx="12">
                  <c:v>-8.0115869641304016E-3</c:v>
                </c:pt>
                <c:pt idx="13">
                  <c:v>-1.4973320066928864E-2</c:v>
                </c:pt>
                <c:pt idx="14">
                  <c:v>0.35569235682487488</c:v>
                </c:pt>
                <c:pt idx="15">
                  <c:v>0.95763051509857178</c:v>
                </c:pt>
                <c:pt idx="16">
                  <c:v>0.98289209604263306</c:v>
                </c:pt>
                <c:pt idx="17">
                  <c:v>1.0220462083816528</c:v>
                </c:pt>
                <c:pt idx="18">
                  <c:v>1.0163862705230713</c:v>
                </c:pt>
                <c:pt idx="19">
                  <c:v>0.89529615640640259</c:v>
                </c:pt>
                <c:pt idx="20">
                  <c:v>0.61072063446044922</c:v>
                </c:pt>
                <c:pt idx="21">
                  <c:v>0.43851941823959351</c:v>
                </c:pt>
                <c:pt idx="22">
                  <c:v>0.36730071902275085</c:v>
                </c:pt>
                <c:pt idx="23">
                  <c:v>0.32197171449661255</c:v>
                </c:pt>
              </c:numCache>
            </c:numRef>
          </c:val>
          <c:smooth val="0"/>
        </c:ser>
        <c:ser>
          <c:idx val="3"/>
          <c:order val="3"/>
          <c:tx>
            <c:strRef>
              <c:f>'LIs Level (2)'!$C$5</c:f>
              <c:strCache>
                <c:ptCount val="1"/>
                <c:pt idx="0">
                  <c:v>cdh65 cdh65_24ma hdh65 hdh65_24ma</c:v>
                </c:pt>
              </c:strCache>
            </c:strRef>
          </c:tx>
          <c:spPr>
            <a:ln w="28575" cap="rnd">
              <a:solidFill>
                <a:schemeClr val="accent4"/>
              </a:solidFill>
              <a:round/>
            </a:ln>
            <a:effectLst/>
          </c:spPr>
          <c:marker>
            <c:symbol val="none"/>
          </c:marker>
          <c:val>
            <c:numRef>
              <c:f>'LIs Level (2)'!$D$5:$AA$5</c:f>
              <c:numCache>
                <c:formatCode>General</c:formatCode>
                <c:ptCount val="24"/>
                <c:pt idx="0">
                  <c:v>4.9039259552955627E-2</c:v>
                </c:pt>
                <c:pt idx="1">
                  <c:v>3.4228820353746414E-2</c:v>
                </c:pt>
                <c:pt idx="2">
                  <c:v>2.594265528023243E-2</c:v>
                </c:pt>
                <c:pt idx="3">
                  <c:v>2.8084104880690575E-2</c:v>
                </c:pt>
                <c:pt idx="4">
                  <c:v>1.8192490562796593E-2</c:v>
                </c:pt>
                <c:pt idx="5">
                  <c:v>2.8512202203273773E-2</c:v>
                </c:pt>
                <c:pt idx="6">
                  <c:v>1.9123023375868797E-2</c:v>
                </c:pt>
                <c:pt idx="7">
                  <c:v>3.1441281316801906E-4</c:v>
                </c:pt>
                <c:pt idx="8">
                  <c:v>-2.1499741822481155E-2</c:v>
                </c:pt>
                <c:pt idx="9">
                  <c:v>-1.8125586211681366E-2</c:v>
                </c:pt>
                <c:pt idx="10">
                  <c:v>1.2717474019154906E-3</c:v>
                </c:pt>
                <c:pt idx="11">
                  <c:v>-7.8920302912592888E-3</c:v>
                </c:pt>
                <c:pt idx="12">
                  <c:v>-6.5797516144812107E-3</c:v>
                </c:pt>
                <c:pt idx="13">
                  <c:v>-7.1325376629829407E-3</c:v>
                </c:pt>
                <c:pt idx="14">
                  <c:v>0.36743432283401489</c:v>
                </c:pt>
                <c:pt idx="15">
                  <c:v>0.97316479682922363</c:v>
                </c:pt>
                <c:pt idx="16">
                  <c:v>0.99233496189117432</c:v>
                </c:pt>
                <c:pt idx="17">
                  <c:v>1.0069751739501953</c:v>
                </c:pt>
                <c:pt idx="18">
                  <c:v>1.0070832967758179</c:v>
                </c:pt>
                <c:pt idx="19">
                  <c:v>0.89492017030715942</c:v>
                </c:pt>
                <c:pt idx="20">
                  <c:v>0.61072683334350586</c:v>
                </c:pt>
                <c:pt idx="21">
                  <c:v>0.4390014111995697</c:v>
                </c:pt>
                <c:pt idx="22">
                  <c:v>0.36783421039581299</c:v>
                </c:pt>
                <c:pt idx="23">
                  <c:v>0.32336226105690002</c:v>
                </c:pt>
              </c:numCache>
            </c:numRef>
          </c:val>
          <c:smooth val="0"/>
        </c:ser>
        <c:ser>
          <c:idx val="4"/>
          <c:order val="4"/>
          <c:tx>
            <c:strRef>
              <c:f>'LIs Level (2)'!$C$6</c:f>
              <c:strCache>
                <c:ptCount val="1"/>
                <c:pt idx="0">
                  <c:v>cdh60 cdd60 hdh60 hdd60</c:v>
                </c:pt>
              </c:strCache>
            </c:strRef>
          </c:tx>
          <c:spPr>
            <a:ln w="57150" cap="rnd">
              <a:solidFill>
                <a:schemeClr val="accent5"/>
              </a:solidFill>
              <a:round/>
            </a:ln>
            <a:effectLst/>
          </c:spPr>
          <c:marker>
            <c:symbol val="none"/>
          </c:marker>
          <c:val>
            <c:numRef>
              <c:f>'LIs Level (2)'!$D$6:$AA$6</c:f>
              <c:numCache>
                <c:formatCode>General</c:formatCode>
                <c:ptCount val="24"/>
                <c:pt idx="0">
                  <c:v>4.8327889293432236E-2</c:v>
                </c:pt>
                <c:pt idx="1">
                  <c:v>3.3137485384941101E-2</c:v>
                </c:pt>
                <c:pt idx="2">
                  <c:v>2.5868862867355347E-2</c:v>
                </c:pt>
                <c:pt idx="3">
                  <c:v>2.8074685484170914E-2</c:v>
                </c:pt>
                <c:pt idx="4">
                  <c:v>2.0125938579440117E-2</c:v>
                </c:pt>
                <c:pt idx="5">
                  <c:v>2.9731594026088715E-2</c:v>
                </c:pt>
                <c:pt idx="6">
                  <c:v>1.3779888860881329E-2</c:v>
                </c:pt>
                <c:pt idx="7">
                  <c:v>2.220747759565711E-3</c:v>
                </c:pt>
                <c:pt idx="8">
                  <c:v>-1.2420544400811195E-2</c:v>
                </c:pt>
                <c:pt idx="9">
                  <c:v>-8.70561134070158E-3</c:v>
                </c:pt>
                <c:pt idx="10">
                  <c:v>5.6556905619800091E-3</c:v>
                </c:pt>
                <c:pt idx="11">
                  <c:v>-9.7950305789709091E-3</c:v>
                </c:pt>
                <c:pt idx="12">
                  <c:v>-7.6213814318180084E-3</c:v>
                </c:pt>
                <c:pt idx="13">
                  <c:v>-1.5621226280927658E-2</c:v>
                </c:pt>
                <c:pt idx="14">
                  <c:v>0.35148707032203674</c:v>
                </c:pt>
                <c:pt idx="15">
                  <c:v>0.94900745153427124</c:v>
                </c:pt>
                <c:pt idx="16">
                  <c:v>0.97466272115707397</c:v>
                </c:pt>
                <c:pt idx="17">
                  <c:v>1.0209420919418335</c:v>
                </c:pt>
                <c:pt idx="18">
                  <c:v>1.0210390090942383</c:v>
                </c:pt>
                <c:pt idx="19">
                  <c:v>0.89306843280792236</c:v>
                </c:pt>
                <c:pt idx="20">
                  <c:v>0.60694116353988647</c:v>
                </c:pt>
                <c:pt idx="21">
                  <c:v>0.440095454454422</c:v>
                </c:pt>
                <c:pt idx="22">
                  <c:v>0.37179851531982422</c:v>
                </c:pt>
                <c:pt idx="23">
                  <c:v>0.32602286338806152</c:v>
                </c:pt>
              </c:numCache>
            </c:numRef>
          </c:val>
          <c:smooth val="0"/>
        </c:ser>
        <c:ser>
          <c:idx val="5"/>
          <c:order val="5"/>
          <c:tx>
            <c:strRef>
              <c:f>'LIs Level (2)'!$C$7</c:f>
              <c:strCache>
                <c:ptCount val="1"/>
                <c:pt idx="0">
                  <c:v>cdh65 cdd65 hdh65 hdd65</c:v>
                </c:pt>
              </c:strCache>
            </c:strRef>
          </c:tx>
          <c:spPr>
            <a:ln w="28575" cap="rnd">
              <a:solidFill>
                <a:schemeClr val="accent6"/>
              </a:solidFill>
              <a:round/>
            </a:ln>
            <a:effectLst/>
          </c:spPr>
          <c:marker>
            <c:symbol val="none"/>
          </c:marker>
          <c:val>
            <c:numRef>
              <c:f>'LIs Level (2)'!$D$7:$AA$7</c:f>
              <c:numCache>
                <c:formatCode>General</c:formatCode>
                <c:ptCount val="24"/>
                <c:pt idx="0">
                  <c:v>5.1094252616167068E-2</c:v>
                </c:pt>
                <c:pt idx="1">
                  <c:v>3.4037850797176361E-2</c:v>
                </c:pt>
                <c:pt idx="2">
                  <c:v>2.6460567489266396E-2</c:v>
                </c:pt>
                <c:pt idx="3">
                  <c:v>2.9674438759684563E-2</c:v>
                </c:pt>
                <c:pt idx="4">
                  <c:v>1.7998889088630676E-2</c:v>
                </c:pt>
                <c:pt idx="5">
                  <c:v>2.6091828942298889E-2</c:v>
                </c:pt>
                <c:pt idx="6">
                  <c:v>9.2643639072775841E-3</c:v>
                </c:pt>
                <c:pt idx="7">
                  <c:v>-4.4761640019714832E-3</c:v>
                </c:pt>
                <c:pt idx="8">
                  <c:v>-1.8625464290380478E-2</c:v>
                </c:pt>
                <c:pt idx="9">
                  <c:v>-1.3381239026784897E-2</c:v>
                </c:pt>
                <c:pt idx="10">
                  <c:v>5.4247570224106312E-3</c:v>
                </c:pt>
                <c:pt idx="11">
                  <c:v>-6.4883665181696415E-3</c:v>
                </c:pt>
                <c:pt idx="12">
                  <c:v>-5.7340092025697231E-3</c:v>
                </c:pt>
                <c:pt idx="13">
                  <c:v>-6.4474968239665031E-3</c:v>
                </c:pt>
                <c:pt idx="14">
                  <c:v>0.3672606348991394</c:v>
                </c:pt>
                <c:pt idx="15">
                  <c:v>0.9688417911529541</c:v>
                </c:pt>
                <c:pt idx="16">
                  <c:v>0.99048036336898804</c:v>
                </c:pt>
                <c:pt idx="17">
                  <c:v>1.0092147588729858</c:v>
                </c:pt>
                <c:pt idx="18">
                  <c:v>1.0025016069412231</c:v>
                </c:pt>
                <c:pt idx="19">
                  <c:v>0.89333951473236084</c:v>
                </c:pt>
                <c:pt idx="20">
                  <c:v>0.60526841878890991</c:v>
                </c:pt>
                <c:pt idx="21">
                  <c:v>0.43607291579246521</c:v>
                </c:pt>
                <c:pt idx="22">
                  <c:v>0.36504575610160828</c:v>
                </c:pt>
                <c:pt idx="23">
                  <c:v>0.32018178701400757</c:v>
                </c:pt>
              </c:numCache>
            </c:numRef>
          </c:val>
          <c:smooth val="0"/>
        </c:ser>
        <c:ser>
          <c:idx val="6"/>
          <c:order val="6"/>
          <c:tx>
            <c:strRef>
              <c:f>'LIs Level (2)'!$C$8</c:f>
              <c:strCache>
                <c:ptCount val="1"/>
                <c:pt idx="0">
                  <c:v>cdh60 lagcdd60 hdh60 laghdd60</c:v>
                </c:pt>
              </c:strCache>
            </c:strRef>
          </c:tx>
          <c:spPr>
            <a:ln w="28575" cap="rnd">
              <a:solidFill>
                <a:schemeClr val="accent1">
                  <a:lumMod val="60000"/>
                </a:schemeClr>
              </a:solidFill>
              <a:round/>
            </a:ln>
            <a:effectLst/>
          </c:spPr>
          <c:marker>
            <c:symbol val="none"/>
          </c:marker>
          <c:val>
            <c:numRef>
              <c:f>'LIs Level (2)'!$D$8:$AA$8</c:f>
              <c:numCache>
                <c:formatCode>General</c:formatCode>
                <c:ptCount val="24"/>
                <c:pt idx="0">
                  <c:v>4.4589530676603317E-2</c:v>
                </c:pt>
                <c:pt idx="1">
                  <c:v>3.2061394304037094E-2</c:v>
                </c:pt>
                <c:pt idx="2">
                  <c:v>2.4540115147829056E-2</c:v>
                </c:pt>
                <c:pt idx="3">
                  <c:v>2.6186389848589897E-2</c:v>
                </c:pt>
                <c:pt idx="4">
                  <c:v>1.5746777877211571E-2</c:v>
                </c:pt>
                <c:pt idx="5">
                  <c:v>2.7039753273129463E-2</c:v>
                </c:pt>
                <c:pt idx="6">
                  <c:v>1.7545990645885468E-2</c:v>
                </c:pt>
                <c:pt idx="7">
                  <c:v>1.5689089195802808E-3</c:v>
                </c:pt>
                <c:pt idx="8">
                  <c:v>-2.4000294506549835E-2</c:v>
                </c:pt>
                <c:pt idx="9">
                  <c:v>-1.7264064401388168E-2</c:v>
                </c:pt>
                <c:pt idx="10">
                  <c:v>1.9431794062256813E-3</c:v>
                </c:pt>
                <c:pt idx="11">
                  <c:v>-1.0585889220237732E-2</c:v>
                </c:pt>
                <c:pt idx="12">
                  <c:v>-4.6899532899260521E-3</c:v>
                </c:pt>
                <c:pt idx="13">
                  <c:v>-6.8586282432079315E-3</c:v>
                </c:pt>
                <c:pt idx="14">
                  <c:v>0.36347442865371704</c:v>
                </c:pt>
                <c:pt idx="15">
                  <c:v>0.96707522869110107</c:v>
                </c:pt>
                <c:pt idx="16">
                  <c:v>0.98816144466400146</c:v>
                </c:pt>
                <c:pt idx="17">
                  <c:v>1.0220917463302612</c:v>
                </c:pt>
                <c:pt idx="18">
                  <c:v>1.018204927444458</c:v>
                </c:pt>
                <c:pt idx="19">
                  <c:v>0.89619654417037964</c:v>
                </c:pt>
                <c:pt idx="20">
                  <c:v>0.61203616857528687</c:v>
                </c:pt>
                <c:pt idx="21">
                  <c:v>0.44079118967056274</c:v>
                </c:pt>
                <c:pt idx="22">
                  <c:v>0.36977040767669678</c:v>
                </c:pt>
                <c:pt idx="23">
                  <c:v>0.31977590918540955</c:v>
                </c:pt>
              </c:numCache>
            </c:numRef>
          </c:val>
          <c:smooth val="0"/>
        </c:ser>
        <c:ser>
          <c:idx val="7"/>
          <c:order val="7"/>
          <c:tx>
            <c:strRef>
              <c:f>'LIs Level (2)'!$C$9</c:f>
              <c:strCache>
                <c:ptCount val="1"/>
                <c:pt idx="0">
                  <c:v>cdh65 lagcdd65 hdh65 laghdd65</c:v>
                </c:pt>
              </c:strCache>
            </c:strRef>
          </c:tx>
          <c:spPr>
            <a:ln w="28575" cap="rnd">
              <a:solidFill>
                <a:schemeClr val="accent2">
                  <a:lumMod val="60000"/>
                </a:schemeClr>
              </a:solidFill>
              <a:round/>
            </a:ln>
            <a:effectLst/>
          </c:spPr>
          <c:marker>
            <c:symbol val="none"/>
          </c:marker>
          <c:val>
            <c:numRef>
              <c:f>'LIs Level (2)'!$D$9:$AA$9</c:f>
              <c:numCache>
                <c:formatCode>General</c:formatCode>
                <c:ptCount val="24"/>
                <c:pt idx="0">
                  <c:v>4.6913869678974152E-2</c:v>
                </c:pt>
                <c:pt idx="1">
                  <c:v>3.4453250467777252E-2</c:v>
                </c:pt>
                <c:pt idx="2">
                  <c:v>2.6254670694470406E-2</c:v>
                </c:pt>
                <c:pt idx="3">
                  <c:v>2.8350755572319031E-2</c:v>
                </c:pt>
                <c:pt idx="4">
                  <c:v>1.4669940806925297E-2</c:v>
                </c:pt>
                <c:pt idx="5">
                  <c:v>2.4641053751111031E-2</c:v>
                </c:pt>
                <c:pt idx="6">
                  <c:v>1.3547510839998722E-2</c:v>
                </c:pt>
                <c:pt idx="7">
                  <c:v>-4.1975611820816994E-3</c:v>
                </c:pt>
                <c:pt idx="8">
                  <c:v>-2.5702232494950294E-2</c:v>
                </c:pt>
                <c:pt idx="9">
                  <c:v>-2.0551269873976707E-2</c:v>
                </c:pt>
                <c:pt idx="10">
                  <c:v>6.6735624568536878E-4</c:v>
                </c:pt>
                <c:pt idx="11">
                  <c:v>-7.9348981380462646E-3</c:v>
                </c:pt>
                <c:pt idx="12">
                  <c:v>-4.7659394331276417E-3</c:v>
                </c:pt>
                <c:pt idx="13">
                  <c:v>-2.7030387427657843E-3</c:v>
                </c:pt>
                <c:pt idx="14">
                  <c:v>0.37213599681854248</c:v>
                </c:pt>
                <c:pt idx="15">
                  <c:v>0.97838705778121948</c:v>
                </c:pt>
                <c:pt idx="16">
                  <c:v>0.99470239877700806</c:v>
                </c:pt>
                <c:pt idx="17">
                  <c:v>1.0087544918060303</c:v>
                </c:pt>
                <c:pt idx="18">
                  <c:v>1.0074079036712646</c:v>
                </c:pt>
                <c:pt idx="19">
                  <c:v>0.89455384016036987</c:v>
                </c:pt>
                <c:pt idx="20">
                  <c:v>0.60805749893188477</c:v>
                </c:pt>
                <c:pt idx="21">
                  <c:v>0.43719545006752014</c:v>
                </c:pt>
                <c:pt idx="22">
                  <c:v>0.36461055278778076</c:v>
                </c:pt>
                <c:pt idx="23">
                  <c:v>0.31627851724624634</c:v>
                </c:pt>
              </c:numCache>
            </c:numRef>
          </c:val>
          <c:smooth val="0"/>
        </c:ser>
        <c:ser>
          <c:idx val="8"/>
          <c:order val="8"/>
          <c:tx>
            <c:strRef>
              <c:f>'LIs Level (2)'!$C$10</c:f>
              <c:strCache>
                <c:ptCount val="1"/>
                <c:pt idx="0">
                  <c:v>mean17</c:v>
                </c:pt>
              </c:strCache>
            </c:strRef>
          </c:tx>
          <c:spPr>
            <a:ln w="28575" cap="rnd">
              <a:solidFill>
                <a:schemeClr val="accent3">
                  <a:lumMod val="60000"/>
                </a:schemeClr>
              </a:solidFill>
              <a:round/>
            </a:ln>
            <a:effectLst/>
          </c:spPr>
          <c:marker>
            <c:symbol val="none"/>
          </c:marker>
          <c:val>
            <c:numRef>
              <c:f>'LIs Level (2)'!$D$10:$AA$10</c:f>
              <c:numCache>
                <c:formatCode>General</c:formatCode>
                <c:ptCount val="24"/>
                <c:pt idx="0">
                  <c:v>4.8264667391777039E-2</c:v>
                </c:pt>
                <c:pt idx="1">
                  <c:v>3.3844731748104095E-2</c:v>
                </c:pt>
                <c:pt idx="2">
                  <c:v>2.6775946840643883E-2</c:v>
                </c:pt>
                <c:pt idx="3">
                  <c:v>2.900421991944313E-2</c:v>
                </c:pt>
                <c:pt idx="4">
                  <c:v>1.7301041632890701E-2</c:v>
                </c:pt>
                <c:pt idx="5">
                  <c:v>2.28554867208004E-2</c:v>
                </c:pt>
                <c:pt idx="6">
                  <c:v>1.1087020859122276E-2</c:v>
                </c:pt>
                <c:pt idx="7">
                  <c:v>-6.3110957853496075E-3</c:v>
                </c:pt>
                <c:pt idx="8">
                  <c:v>-2.7149436995387077E-2</c:v>
                </c:pt>
                <c:pt idx="9">
                  <c:v>-2.0711513236165047E-2</c:v>
                </c:pt>
                <c:pt idx="10">
                  <c:v>-6.9436933845281601E-3</c:v>
                </c:pt>
                <c:pt idx="11">
                  <c:v>-2.1123846992850304E-2</c:v>
                </c:pt>
                <c:pt idx="12">
                  <c:v>-1.1799488216638565E-2</c:v>
                </c:pt>
                <c:pt idx="13">
                  <c:v>-7.9605076462030411E-3</c:v>
                </c:pt>
                <c:pt idx="14">
                  <c:v>0.3648533821105957</c:v>
                </c:pt>
                <c:pt idx="15">
                  <c:v>0.969288170337677</c:v>
                </c:pt>
                <c:pt idx="16">
                  <c:v>0.97881364822387695</c:v>
                </c:pt>
                <c:pt idx="17">
                  <c:v>0.99716067314147949</c:v>
                </c:pt>
                <c:pt idx="18">
                  <c:v>1.0037524700164795</c:v>
                </c:pt>
                <c:pt idx="19">
                  <c:v>0.88918918371200562</c:v>
                </c:pt>
                <c:pt idx="20">
                  <c:v>0.60196602344512939</c:v>
                </c:pt>
                <c:pt idx="21">
                  <c:v>0.43312668800354004</c:v>
                </c:pt>
                <c:pt idx="22">
                  <c:v>0.36129239201545715</c:v>
                </c:pt>
                <c:pt idx="23">
                  <c:v>0.31542977690696716</c:v>
                </c:pt>
              </c:numCache>
            </c:numRef>
          </c:val>
          <c:smooth val="0"/>
        </c:ser>
        <c:ser>
          <c:idx val="9"/>
          <c:order val="9"/>
          <c:tx>
            <c:strRef>
              <c:f>'LIs Level (2)'!$C$11</c:f>
              <c:strCache>
                <c:ptCount val="1"/>
                <c:pt idx="0">
                  <c:v>mean17 cdh60 hdh60</c:v>
                </c:pt>
              </c:strCache>
            </c:strRef>
          </c:tx>
          <c:spPr>
            <a:ln w="28575" cap="rnd">
              <a:solidFill>
                <a:schemeClr val="accent4">
                  <a:lumMod val="60000"/>
                </a:schemeClr>
              </a:solidFill>
              <a:round/>
            </a:ln>
            <a:effectLst/>
          </c:spPr>
          <c:marker>
            <c:symbol val="none"/>
          </c:marker>
          <c:val>
            <c:numRef>
              <c:f>'LIs Level (2)'!$D$11:$AA$11</c:f>
              <c:numCache>
                <c:formatCode>General</c:formatCode>
                <c:ptCount val="24"/>
                <c:pt idx="0">
                  <c:v>5.2838139235973358E-2</c:v>
                </c:pt>
                <c:pt idx="1">
                  <c:v>3.618316724896431E-2</c:v>
                </c:pt>
                <c:pt idx="2">
                  <c:v>2.8029661625623703E-2</c:v>
                </c:pt>
                <c:pt idx="3">
                  <c:v>3.3175192773342133E-2</c:v>
                </c:pt>
                <c:pt idx="4">
                  <c:v>1.9827406853437424E-2</c:v>
                </c:pt>
                <c:pt idx="5">
                  <c:v>2.6245953515172005E-2</c:v>
                </c:pt>
                <c:pt idx="6">
                  <c:v>1.0127018205821514E-2</c:v>
                </c:pt>
                <c:pt idx="7">
                  <c:v>-5.0322264432907104E-3</c:v>
                </c:pt>
                <c:pt idx="8">
                  <c:v>-2.0726161077618599E-2</c:v>
                </c:pt>
                <c:pt idx="9">
                  <c:v>-9.9884923547506332E-3</c:v>
                </c:pt>
                <c:pt idx="10">
                  <c:v>2.9817121103405952E-3</c:v>
                </c:pt>
                <c:pt idx="11">
                  <c:v>-1.1543526314198971E-2</c:v>
                </c:pt>
                <c:pt idx="12">
                  <c:v>-6.7916861735284328E-3</c:v>
                </c:pt>
                <c:pt idx="13">
                  <c:v>-9.1944560408592224E-3</c:v>
                </c:pt>
                <c:pt idx="14">
                  <c:v>0.36165070533752441</c:v>
                </c:pt>
                <c:pt idx="15">
                  <c:v>0.9623647928237915</c:v>
                </c:pt>
                <c:pt idx="16">
                  <c:v>0.98429179191589355</c:v>
                </c:pt>
                <c:pt idx="17">
                  <c:v>1.0186749696731567</c:v>
                </c:pt>
                <c:pt idx="18">
                  <c:v>1.0145694017410278</c:v>
                </c:pt>
                <c:pt idx="19">
                  <c:v>0.89494919776916504</c:v>
                </c:pt>
                <c:pt idx="20">
                  <c:v>0.61053234338760376</c:v>
                </c:pt>
                <c:pt idx="21">
                  <c:v>0.43768200278282166</c:v>
                </c:pt>
                <c:pt idx="22">
                  <c:v>0.36670544743537903</c:v>
                </c:pt>
                <c:pt idx="23">
                  <c:v>0.3202744722366333</c:v>
                </c:pt>
              </c:numCache>
            </c:numRef>
          </c:val>
          <c:smooth val="0"/>
        </c:ser>
        <c:ser>
          <c:idx val="10"/>
          <c:order val="10"/>
          <c:tx>
            <c:strRef>
              <c:f>'LIs Level (2)'!$C$12</c:f>
              <c:strCache>
                <c:ptCount val="1"/>
                <c:pt idx="0">
                  <c:v>mean17 cdh65 hdh65</c:v>
                </c:pt>
              </c:strCache>
            </c:strRef>
          </c:tx>
          <c:spPr>
            <a:ln w="28575" cap="rnd">
              <a:solidFill>
                <a:schemeClr val="accent5">
                  <a:lumMod val="60000"/>
                </a:schemeClr>
              </a:solidFill>
              <a:round/>
            </a:ln>
            <a:effectLst/>
          </c:spPr>
          <c:marker>
            <c:symbol val="none"/>
          </c:marker>
          <c:val>
            <c:numRef>
              <c:f>'LIs Level (2)'!$D$12:$AA$12</c:f>
              <c:numCache>
                <c:formatCode>General</c:formatCode>
                <c:ptCount val="24"/>
                <c:pt idx="0">
                  <c:v>5.0110552459955215E-2</c:v>
                </c:pt>
                <c:pt idx="1">
                  <c:v>3.4076973795890808E-2</c:v>
                </c:pt>
                <c:pt idx="2">
                  <c:v>2.736738882958889E-2</c:v>
                </c:pt>
                <c:pt idx="3">
                  <c:v>3.2722130417823792E-2</c:v>
                </c:pt>
                <c:pt idx="4">
                  <c:v>1.938706636428833E-2</c:v>
                </c:pt>
                <c:pt idx="5">
                  <c:v>2.5937339290976524E-2</c:v>
                </c:pt>
                <c:pt idx="6">
                  <c:v>9.8809245973825455E-3</c:v>
                </c:pt>
                <c:pt idx="7">
                  <c:v>-4.5544137246906757E-3</c:v>
                </c:pt>
                <c:pt idx="8">
                  <c:v>-2.1026460453867912E-2</c:v>
                </c:pt>
                <c:pt idx="9">
                  <c:v>-1.125625055283308E-2</c:v>
                </c:pt>
                <c:pt idx="10">
                  <c:v>2.3354359436780214E-3</c:v>
                </c:pt>
                <c:pt idx="11">
                  <c:v>-7.9437736421823502E-3</c:v>
                </c:pt>
                <c:pt idx="12">
                  <c:v>-6.0228086076676846E-3</c:v>
                </c:pt>
                <c:pt idx="13">
                  <c:v>-4.1716578416526318E-3</c:v>
                </c:pt>
                <c:pt idx="14">
                  <c:v>0.37024739384651184</c:v>
                </c:pt>
                <c:pt idx="15">
                  <c:v>0.9738619327545166</c:v>
                </c:pt>
                <c:pt idx="16">
                  <c:v>0.99078279733657837</c:v>
                </c:pt>
                <c:pt idx="17">
                  <c:v>1.0060241222381592</c:v>
                </c:pt>
                <c:pt idx="18">
                  <c:v>1.0043296813964844</c:v>
                </c:pt>
                <c:pt idx="19">
                  <c:v>0.89435464143753052</c:v>
                </c:pt>
                <c:pt idx="20">
                  <c:v>0.60693889856338501</c:v>
                </c:pt>
                <c:pt idx="21">
                  <c:v>0.43616414070129395</c:v>
                </c:pt>
                <c:pt idx="22">
                  <c:v>0.36414799094200134</c:v>
                </c:pt>
                <c:pt idx="23">
                  <c:v>0.3170226514339447</c:v>
                </c:pt>
              </c:numCache>
            </c:numRef>
          </c:val>
          <c:smooth val="0"/>
        </c:ser>
        <c:dLbls>
          <c:showLegendKey val="0"/>
          <c:showVal val="0"/>
          <c:showCatName val="0"/>
          <c:showSerName val="0"/>
          <c:showPercent val="0"/>
          <c:showBubbleSize val="0"/>
        </c:dLbls>
        <c:smooth val="0"/>
        <c:axId val="532458896"/>
        <c:axId val="532459456"/>
      </c:lineChart>
      <c:catAx>
        <c:axId val="53245889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Hour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32459456"/>
        <c:crosses val="autoZero"/>
        <c:auto val="1"/>
        <c:lblAlgn val="ctr"/>
        <c:lblOffset val="100"/>
        <c:noMultiLvlLbl val="0"/>
      </c:catAx>
      <c:valAx>
        <c:axId val="5324594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Average per Customer Load Impact (MW)</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32458896"/>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Sheet6!$G$3</c:f>
              <c:strCache>
                <c:ptCount val="1"/>
                <c:pt idx="0">
                  <c:v>Observed</c:v>
                </c:pt>
              </c:strCache>
            </c:strRef>
          </c:tx>
          <c:spPr>
            <a:ln w="38100" cap="rnd">
              <a:solidFill>
                <a:schemeClr val="accent1"/>
              </a:solidFill>
              <a:round/>
            </a:ln>
            <a:effectLst/>
          </c:spPr>
          <c:marker>
            <c:symbol val="none"/>
          </c:marker>
          <c:val>
            <c:numRef>
              <c:f>Sheet6!$G$4:$G$27</c:f>
              <c:numCache>
                <c:formatCode>General</c:formatCode>
                <c:ptCount val="24"/>
                <c:pt idx="0">
                  <c:v>1.2548890965325492</c:v>
                </c:pt>
                <c:pt idx="1">
                  <c:v>1.2343940394265311</c:v>
                </c:pt>
                <c:pt idx="2">
                  <c:v>1.2184848785400391</c:v>
                </c:pt>
                <c:pt idx="3">
                  <c:v>1.243261797087533</c:v>
                </c:pt>
                <c:pt idx="4">
                  <c:v>1.259492039680481</c:v>
                </c:pt>
                <c:pt idx="5">
                  <c:v>1.3264550140925817</c:v>
                </c:pt>
                <c:pt idx="6">
                  <c:v>1.4226285389491491</c:v>
                </c:pt>
                <c:pt idx="7">
                  <c:v>1.4513397387095861</c:v>
                </c:pt>
                <c:pt idx="8">
                  <c:v>1.4375869376318795</c:v>
                </c:pt>
                <c:pt idx="9">
                  <c:v>1.4426222017833166</c:v>
                </c:pt>
                <c:pt idx="10">
                  <c:v>1.4455056360789709</c:v>
                </c:pt>
                <c:pt idx="11">
                  <c:v>1.4310838154384069</c:v>
                </c:pt>
                <c:pt idx="12">
                  <c:v>1.3833875145230974</c:v>
                </c:pt>
                <c:pt idx="13">
                  <c:v>1.3683268002101354</c:v>
                </c:pt>
                <c:pt idx="14">
                  <c:v>1.3341616903032576</c:v>
                </c:pt>
                <c:pt idx="15">
                  <c:v>1.2897034883499146</c:v>
                </c:pt>
                <c:pt idx="16">
                  <c:v>1.2723931755338396</c:v>
                </c:pt>
                <c:pt idx="17">
                  <c:v>1.2503602504730225</c:v>
                </c:pt>
                <c:pt idx="18">
                  <c:v>1.2882065091814314</c:v>
                </c:pt>
                <c:pt idx="19">
                  <c:v>1.3106673274721419</c:v>
                </c:pt>
                <c:pt idx="20">
                  <c:v>1.3104076555797033</c:v>
                </c:pt>
                <c:pt idx="21">
                  <c:v>1.3089969839368547</c:v>
                </c:pt>
                <c:pt idx="22">
                  <c:v>1.2910011325563704</c:v>
                </c:pt>
                <c:pt idx="23">
                  <c:v>1.2719636814934867</c:v>
                </c:pt>
              </c:numCache>
            </c:numRef>
          </c:val>
          <c:smooth val="0"/>
        </c:ser>
        <c:ser>
          <c:idx val="1"/>
          <c:order val="1"/>
          <c:tx>
            <c:strRef>
              <c:f>Sheet6!$H$3</c:f>
              <c:strCache>
                <c:ptCount val="1"/>
                <c:pt idx="0">
                  <c:v>Predicted</c:v>
                </c:pt>
              </c:strCache>
            </c:strRef>
          </c:tx>
          <c:spPr>
            <a:ln w="38100" cap="rnd">
              <a:solidFill>
                <a:schemeClr val="accent2"/>
              </a:solidFill>
              <a:prstDash val="sysDash"/>
              <a:round/>
            </a:ln>
            <a:effectLst/>
          </c:spPr>
          <c:marker>
            <c:symbol val="none"/>
          </c:marker>
          <c:val>
            <c:numRef>
              <c:f>Sheet6!$H$4:$H$27</c:f>
              <c:numCache>
                <c:formatCode>General</c:formatCode>
                <c:ptCount val="24"/>
                <c:pt idx="0">
                  <c:v>1.233977266720363</c:v>
                </c:pt>
                <c:pt idx="1">
                  <c:v>1.2113527911049979</c:v>
                </c:pt>
                <c:pt idx="2">
                  <c:v>1.1988689729145594</c:v>
                </c:pt>
                <c:pt idx="3">
                  <c:v>1.2211684499468123</c:v>
                </c:pt>
                <c:pt idx="4">
                  <c:v>1.2593541485922677</c:v>
                </c:pt>
                <c:pt idx="5">
                  <c:v>1.330489924975804</c:v>
                </c:pt>
                <c:pt idx="6">
                  <c:v>1.4255848271506173</c:v>
                </c:pt>
                <c:pt idx="7">
                  <c:v>1.4625579799924577</c:v>
                </c:pt>
                <c:pt idx="8">
                  <c:v>1.4644863264901298</c:v>
                </c:pt>
                <c:pt idx="9">
                  <c:v>1.4638411658150809</c:v>
                </c:pt>
                <c:pt idx="10">
                  <c:v>1.4519212927137102</c:v>
                </c:pt>
                <c:pt idx="11">
                  <c:v>1.4444434472492762</c:v>
                </c:pt>
                <c:pt idx="12">
                  <c:v>1.3927024943487984</c:v>
                </c:pt>
                <c:pt idx="13">
                  <c:v>1.38015649999891</c:v>
                </c:pt>
                <c:pt idx="14">
                  <c:v>1.3431178331375122</c:v>
                </c:pt>
                <c:pt idx="15">
                  <c:v>1.2952293157577515</c:v>
                </c:pt>
                <c:pt idx="16">
                  <c:v>1.2820301566805159</c:v>
                </c:pt>
                <c:pt idx="17">
                  <c:v>1.2646179369517736</c:v>
                </c:pt>
                <c:pt idx="18">
                  <c:v>1.2992663724081857</c:v>
                </c:pt>
                <c:pt idx="19">
                  <c:v>1.3173612526484899</c:v>
                </c:pt>
                <c:pt idx="20">
                  <c:v>1.3153357335499354</c:v>
                </c:pt>
                <c:pt idx="21">
                  <c:v>1.3254799842834473</c:v>
                </c:pt>
                <c:pt idx="22">
                  <c:v>1.3140090022768294</c:v>
                </c:pt>
                <c:pt idx="23">
                  <c:v>1.2950131552559989</c:v>
                </c:pt>
              </c:numCache>
            </c:numRef>
          </c:val>
          <c:smooth val="0"/>
        </c:ser>
        <c:dLbls>
          <c:showLegendKey val="0"/>
          <c:showVal val="0"/>
          <c:showCatName val="0"/>
          <c:showSerName val="0"/>
          <c:showPercent val="0"/>
          <c:showBubbleSize val="0"/>
        </c:dLbls>
        <c:smooth val="0"/>
        <c:axId val="532462256"/>
        <c:axId val="532462816"/>
      </c:lineChart>
      <c:catAx>
        <c:axId val="5324622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Hour</a:t>
                </a:r>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32462816"/>
        <c:crosses val="autoZero"/>
        <c:auto val="1"/>
        <c:lblAlgn val="ctr"/>
        <c:lblOffset val="100"/>
        <c:noMultiLvlLbl val="0"/>
      </c:catAx>
      <c:valAx>
        <c:axId val="5324628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a:t>Load (MW)</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32462256"/>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Entry>
      <c:legendEntry>
        <c:idx val="1"/>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Entry>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Sheet2!$G$3</c:f>
              <c:strCache>
                <c:ptCount val="1"/>
                <c:pt idx="0">
                  <c:v>Observed</c:v>
                </c:pt>
              </c:strCache>
            </c:strRef>
          </c:tx>
          <c:spPr>
            <a:ln w="38100" cap="rnd">
              <a:solidFill>
                <a:schemeClr val="accent1"/>
              </a:solidFill>
              <a:round/>
            </a:ln>
            <a:effectLst/>
          </c:spPr>
          <c:marker>
            <c:symbol val="none"/>
          </c:marker>
          <c:val>
            <c:numRef>
              <c:f>Sheet2!$G$4:$G$27</c:f>
              <c:numCache>
                <c:formatCode>General</c:formatCode>
                <c:ptCount val="24"/>
                <c:pt idx="0">
                  <c:v>1.1273544488414642</c:v>
                </c:pt>
                <c:pt idx="1">
                  <c:v>1.1084785509494044</c:v>
                </c:pt>
                <c:pt idx="2">
                  <c:v>1.096558891957806</c:v>
                </c:pt>
                <c:pt idx="3">
                  <c:v>1.1020266442529616</c:v>
                </c:pt>
                <c:pt idx="4">
                  <c:v>1.1336133912686379</c:v>
                </c:pt>
                <c:pt idx="5">
                  <c:v>1.1997541708330954</c:v>
                </c:pt>
                <c:pt idx="6">
                  <c:v>1.2914193926319</c:v>
                </c:pt>
                <c:pt idx="7">
                  <c:v>1.3308742815448391</c:v>
                </c:pt>
                <c:pt idx="8">
                  <c:v>1.3348446622971566</c:v>
                </c:pt>
                <c:pt idx="9">
                  <c:v>1.3250893354415894</c:v>
                </c:pt>
                <c:pt idx="10">
                  <c:v>1.3045140543291647</c:v>
                </c:pt>
                <c:pt idx="11">
                  <c:v>1.3206725947318538</c:v>
                </c:pt>
                <c:pt idx="12">
                  <c:v>1.3327994058209081</c:v>
                </c:pt>
                <c:pt idx="13">
                  <c:v>1.3176157320699384</c:v>
                </c:pt>
                <c:pt idx="14">
                  <c:v>1.2794772771096998</c:v>
                </c:pt>
                <c:pt idx="15">
                  <c:v>1.2137881599126323</c:v>
                </c:pt>
                <c:pt idx="16">
                  <c:v>1.1917076134873974</c:v>
                </c:pt>
                <c:pt idx="17">
                  <c:v>1.1814454418997611</c:v>
                </c:pt>
                <c:pt idx="18">
                  <c:v>1.1802224449573024</c:v>
                </c:pt>
                <c:pt idx="19">
                  <c:v>1.1879119776910352</c:v>
                </c:pt>
                <c:pt idx="20">
                  <c:v>1.1915604481773991</c:v>
                </c:pt>
                <c:pt idx="21">
                  <c:v>1.198811795442335</c:v>
                </c:pt>
                <c:pt idx="22">
                  <c:v>1.1897200153719993</c:v>
                </c:pt>
                <c:pt idx="23">
                  <c:v>1.1714800307827611</c:v>
                </c:pt>
              </c:numCache>
            </c:numRef>
          </c:val>
          <c:smooth val="0"/>
        </c:ser>
        <c:ser>
          <c:idx val="1"/>
          <c:order val="1"/>
          <c:tx>
            <c:strRef>
              <c:f>Sheet2!$H$3</c:f>
              <c:strCache>
                <c:ptCount val="1"/>
                <c:pt idx="0">
                  <c:v>Predicted</c:v>
                </c:pt>
              </c:strCache>
            </c:strRef>
          </c:tx>
          <c:spPr>
            <a:ln w="38100" cap="rnd">
              <a:solidFill>
                <a:schemeClr val="accent2"/>
              </a:solidFill>
              <a:prstDash val="sysDash"/>
              <a:round/>
            </a:ln>
            <a:effectLst/>
          </c:spPr>
          <c:marker>
            <c:symbol val="none"/>
          </c:marker>
          <c:val>
            <c:numRef>
              <c:f>Sheet2!$H$4:$H$27</c:f>
              <c:numCache>
                <c:formatCode>General</c:formatCode>
                <c:ptCount val="24"/>
                <c:pt idx="0">
                  <c:v>1.1279282367998553</c:v>
                </c:pt>
                <c:pt idx="1">
                  <c:v>1.1110481235288805</c:v>
                </c:pt>
                <c:pt idx="2">
                  <c:v>1.0999129010785011</c:v>
                </c:pt>
                <c:pt idx="3">
                  <c:v>1.1042288868658003</c:v>
                </c:pt>
                <c:pt idx="4">
                  <c:v>1.1369874342795341</c:v>
                </c:pt>
                <c:pt idx="5">
                  <c:v>1.2048237554488643</c:v>
                </c:pt>
                <c:pt idx="6">
                  <c:v>1.2937631068691131</c:v>
                </c:pt>
                <c:pt idx="7">
                  <c:v>1.3297863314228673</c:v>
                </c:pt>
                <c:pt idx="8">
                  <c:v>1.333290002038402</c:v>
                </c:pt>
                <c:pt idx="9">
                  <c:v>1.3277280965159017</c:v>
                </c:pt>
                <c:pt idx="10">
                  <c:v>1.3085112360215956</c:v>
                </c:pt>
                <c:pt idx="11">
                  <c:v>1.3193272332991324</c:v>
                </c:pt>
                <c:pt idx="12">
                  <c:v>1.3306247841927312</c:v>
                </c:pt>
                <c:pt idx="13">
                  <c:v>1.3146706781079691</c:v>
                </c:pt>
                <c:pt idx="14">
                  <c:v>1.274203529281001</c:v>
                </c:pt>
                <c:pt idx="15">
                  <c:v>1.2112876071083931</c:v>
                </c:pt>
                <c:pt idx="16">
                  <c:v>1.1913239090673384</c:v>
                </c:pt>
                <c:pt idx="17">
                  <c:v>1.1814451861766078</c:v>
                </c:pt>
                <c:pt idx="18">
                  <c:v>1.1801524633361447</c:v>
                </c:pt>
                <c:pt idx="19">
                  <c:v>1.1848421846666644</c:v>
                </c:pt>
                <c:pt idx="20">
                  <c:v>1.1891010153678157</c:v>
                </c:pt>
                <c:pt idx="21">
                  <c:v>1.1937193466771034</c:v>
                </c:pt>
                <c:pt idx="22">
                  <c:v>1.183821718538961</c:v>
                </c:pt>
                <c:pt idx="23">
                  <c:v>1.165367728279483</c:v>
                </c:pt>
              </c:numCache>
            </c:numRef>
          </c:val>
          <c:smooth val="0"/>
        </c:ser>
        <c:dLbls>
          <c:showLegendKey val="0"/>
          <c:showVal val="0"/>
          <c:showCatName val="0"/>
          <c:showSerName val="0"/>
          <c:showPercent val="0"/>
          <c:showBubbleSize val="0"/>
        </c:dLbls>
        <c:smooth val="0"/>
        <c:axId val="532465616"/>
        <c:axId val="532466176"/>
      </c:lineChart>
      <c:catAx>
        <c:axId val="532465616"/>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Hour</a:t>
                </a:r>
              </a:p>
            </c:rich>
          </c:tx>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32466176"/>
        <c:crosses val="autoZero"/>
        <c:auto val="1"/>
        <c:lblAlgn val="ctr"/>
        <c:lblOffset val="100"/>
        <c:noMultiLvlLbl val="0"/>
      </c:catAx>
      <c:valAx>
        <c:axId val="5324661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Load (MW)</a:t>
                </a: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32465616"/>
        <c:crosses val="autoZero"/>
        <c:crossBetween val="between"/>
      </c:valAx>
      <c:spPr>
        <a:noFill/>
        <a:ln>
          <a:noFill/>
        </a:ln>
        <a:effectLst/>
      </c:spPr>
    </c:plotArea>
    <c:legend>
      <c:legendPos val="b"/>
      <c:layout/>
      <c:overlay val="0"/>
      <c:spPr>
        <a:noFill/>
        <a:ln w="38100">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Sheet2!$F$3</c:f>
              <c:strCache>
                <c:ptCount val="1"/>
                <c:pt idx="0">
                  <c:v>Observed</c:v>
                </c:pt>
              </c:strCache>
            </c:strRef>
          </c:tx>
          <c:spPr>
            <a:ln w="38100" cap="rnd">
              <a:solidFill>
                <a:schemeClr val="accent1"/>
              </a:solidFill>
              <a:round/>
            </a:ln>
            <a:effectLst/>
          </c:spPr>
          <c:marker>
            <c:symbol val="none"/>
          </c:marker>
          <c:val>
            <c:numRef>
              <c:f>Sheet2!$F$4:$F$27</c:f>
              <c:numCache>
                <c:formatCode>General</c:formatCode>
                <c:ptCount val="24"/>
                <c:pt idx="0">
                  <c:v>1.238132905960083</c:v>
                </c:pt>
                <c:pt idx="1">
                  <c:v>1.2415804147720337</c:v>
                </c:pt>
                <c:pt idx="2">
                  <c:v>1.215716290473938</c:v>
                </c:pt>
                <c:pt idx="3">
                  <c:v>1.213942289352417</c:v>
                </c:pt>
                <c:pt idx="4">
                  <c:v>1.2622544050216675</c:v>
                </c:pt>
                <c:pt idx="5">
                  <c:v>1.3113332271575928</c:v>
                </c:pt>
                <c:pt idx="6">
                  <c:v>1.3561738014221192</c:v>
                </c:pt>
                <c:pt idx="7">
                  <c:v>1.3519794702529908</c:v>
                </c:pt>
                <c:pt idx="8">
                  <c:v>1.3676636219024658</c:v>
                </c:pt>
                <c:pt idx="9">
                  <c:v>1.3626207351684569</c:v>
                </c:pt>
                <c:pt idx="10">
                  <c:v>1.368806529045105</c:v>
                </c:pt>
                <c:pt idx="11">
                  <c:v>1.3460481882095336</c:v>
                </c:pt>
                <c:pt idx="12">
                  <c:v>1.3167549848556519</c:v>
                </c:pt>
                <c:pt idx="13">
                  <c:v>1.3042845249176025</c:v>
                </c:pt>
                <c:pt idx="14">
                  <c:v>1.2915887117385865</c:v>
                </c:pt>
                <c:pt idx="15">
                  <c:v>1.2816905975341797</c:v>
                </c:pt>
                <c:pt idx="16">
                  <c:v>1.309682583808899</c:v>
                </c:pt>
                <c:pt idx="17">
                  <c:v>1.3009278535842896</c:v>
                </c:pt>
                <c:pt idx="18">
                  <c:v>1.3109098672866821</c:v>
                </c:pt>
                <c:pt idx="19">
                  <c:v>1.3164159297943114</c:v>
                </c:pt>
                <c:pt idx="20">
                  <c:v>1.329276442527771</c:v>
                </c:pt>
                <c:pt idx="21">
                  <c:v>1.3128231763839722</c:v>
                </c:pt>
                <c:pt idx="22">
                  <c:v>1.2804663181304932</c:v>
                </c:pt>
                <c:pt idx="23">
                  <c:v>1.2764675378799439</c:v>
                </c:pt>
              </c:numCache>
            </c:numRef>
          </c:val>
          <c:smooth val="0"/>
        </c:ser>
        <c:ser>
          <c:idx val="1"/>
          <c:order val="1"/>
          <c:tx>
            <c:strRef>
              <c:f>Sheet2!$G$3</c:f>
              <c:strCache>
                <c:ptCount val="1"/>
                <c:pt idx="0">
                  <c:v>Predicted</c:v>
                </c:pt>
              </c:strCache>
            </c:strRef>
          </c:tx>
          <c:spPr>
            <a:ln w="38100" cap="rnd">
              <a:solidFill>
                <a:schemeClr val="accent2"/>
              </a:solidFill>
              <a:prstDash val="sysDash"/>
              <a:round/>
            </a:ln>
            <a:effectLst/>
          </c:spPr>
          <c:marker>
            <c:symbol val="none"/>
          </c:marker>
          <c:val>
            <c:numRef>
              <c:f>Sheet2!$G$4:$G$27</c:f>
              <c:numCache>
                <c:formatCode>General</c:formatCode>
                <c:ptCount val="24"/>
                <c:pt idx="0">
                  <c:v>1.2404436588287353</c:v>
                </c:pt>
                <c:pt idx="1">
                  <c:v>1.2386048316955567</c:v>
                </c:pt>
                <c:pt idx="2">
                  <c:v>1.2193937301635742</c:v>
                </c:pt>
                <c:pt idx="3">
                  <c:v>1.2112628936767578</c:v>
                </c:pt>
                <c:pt idx="4">
                  <c:v>1.2622044563293457</c:v>
                </c:pt>
                <c:pt idx="5">
                  <c:v>1.3135103702545166</c:v>
                </c:pt>
                <c:pt idx="6">
                  <c:v>1.3439651012420655</c:v>
                </c:pt>
                <c:pt idx="7">
                  <c:v>1.3565632104873657</c:v>
                </c:pt>
                <c:pt idx="8">
                  <c:v>1.3723480939865111</c:v>
                </c:pt>
                <c:pt idx="9">
                  <c:v>1.366351056098938</c:v>
                </c:pt>
                <c:pt idx="10">
                  <c:v>1.3764959335327149</c:v>
                </c:pt>
                <c:pt idx="11">
                  <c:v>1.3585515975952149</c:v>
                </c:pt>
                <c:pt idx="12">
                  <c:v>1.33426833152771</c:v>
                </c:pt>
                <c:pt idx="13">
                  <c:v>1.3159008026123047</c:v>
                </c:pt>
                <c:pt idx="14">
                  <c:v>1.3074530839920044</c:v>
                </c:pt>
                <c:pt idx="15">
                  <c:v>1.2895492792129517</c:v>
                </c:pt>
                <c:pt idx="16">
                  <c:v>1.2980391025543212</c:v>
                </c:pt>
                <c:pt idx="17">
                  <c:v>1.321566605567932</c:v>
                </c:pt>
                <c:pt idx="18">
                  <c:v>1.3149038314819337</c:v>
                </c:pt>
                <c:pt idx="19">
                  <c:v>1.3125982284545898</c:v>
                </c:pt>
                <c:pt idx="20">
                  <c:v>1.3204049587249755</c:v>
                </c:pt>
                <c:pt idx="21">
                  <c:v>1.3191436290740968</c:v>
                </c:pt>
                <c:pt idx="22">
                  <c:v>1.3048335790634156</c:v>
                </c:pt>
                <c:pt idx="23">
                  <c:v>1.2958556413650513</c:v>
                </c:pt>
              </c:numCache>
            </c:numRef>
          </c:val>
          <c:smooth val="0"/>
        </c:ser>
        <c:dLbls>
          <c:showLegendKey val="0"/>
          <c:showVal val="0"/>
          <c:showCatName val="0"/>
          <c:showSerName val="0"/>
          <c:showPercent val="0"/>
          <c:showBubbleSize val="0"/>
        </c:dLbls>
        <c:smooth val="0"/>
        <c:axId val="532468976"/>
        <c:axId val="532469536"/>
      </c:lineChart>
      <c:catAx>
        <c:axId val="532468976"/>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Hour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32469536"/>
        <c:crosses val="autoZero"/>
        <c:auto val="1"/>
        <c:lblAlgn val="ctr"/>
        <c:lblOffset val="100"/>
        <c:noMultiLvlLbl val="0"/>
      </c:catAx>
      <c:valAx>
        <c:axId val="532469536"/>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Load (MW)</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324689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Sheet1!$G$2</c:f>
              <c:strCache>
                <c:ptCount val="1"/>
                <c:pt idx="0">
                  <c:v>Load Impact (MW)</c:v>
                </c:pt>
              </c:strCache>
            </c:strRef>
          </c:tx>
          <c:spPr>
            <a:solidFill>
              <a:schemeClr val="accent1"/>
            </a:solidFill>
            <a:ln>
              <a:noFill/>
            </a:ln>
            <a:effectLst/>
          </c:spPr>
          <c:invertIfNegative val="0"/>
          <c:cat>
            <c:strRef>
              <c:f>Sheet1!$F$3:$F$6</c:f>
              <c:strCache>
                <c:ptCount val="4"/>
                <c:pt idx="0">
                  <c:v>Utility 1-in-2</c:v>
                </c:pt>
                <c:pt idx="1">
                  <c:v>Utility 1-in-10</c:v>
                </c:pt>
                <c:pt idx="2">
                  <c:v>CAISO 1-in-2</c:v>
                </c:pt>
                <c:pt idx="3">
                  <c:v>CAISO 1-in-10</c:v>
                </c:pt>
              </c:strCache>
            </c:strRef>
          </c:cat>
          <c:val>
            <c:numRef>
              <c:f>Sheet1!$G$3:$G$6</c:f>
              <c:numCache>
                <c:formatCode>0.0</c:formatCode>
                <c:ptCount val="4"/>
                <c:pt idx="0">
                  <c:v>246.02999877929687</c:v>
                </c:pt>
                <c:pt idx="1">
                  <c:v>246.02999877929687</c:v>
                </c:pt>
                <c:pt idx="2">
                  <c:v>246.02999877929687</c:v>
                </c:pt>
                <c:pt idx="3">
                  <c:v>246.02999877929687</c:v>
                </c:pt>
              </c:numCache>
            </c:numRef>
          </c:val>
        </c:ser>
        <c:dLbls>
          <c:showLegendKey val="0"/>
          <c:showVal val="0"/>
          <c:showCatName val="0"/>
          <c:showSerName val="0"/>
          <c:showPercent val="0"/>
          <c:showBubbleSize val="0"/>
        </c:dLbls>
        <c:gapWidth val="219"/>
        <c:overlap val="-27"/>
        <c:axId val="690475904"/>
        <c:axId val="690476464"/>
      </c:barChart>
      <c:catAx>
        <c:axId val="690475904"/>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Weather Scenario</a:t>
                </a:r>
              </a:p>
            </c:rich>
          </c:tx>
          <c:layout/>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crossAx val="690476464"/>
        <c:crosses val="autoZero"/>
        <c:auto val="1"/>
        <c:lblAlgn val="ctr"/>
        <c:lblOffset val="100"/>
        <c:noMultiLvlLbl val="0"/>
      </c:catAx>
      <c:valAx>
        <c:axId val="6904764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Load Impact (MW)</a:t>
                </a:r>
              </a:p>
            </c:rich>
          </c:tx>
          <c:layout/>
          <c:overlay val="0"/>
          <c:spPr>
            <a:noFill/>
            <a:ln>
              <a:noFill/>
            </a:ln>
            <a:effectLst/>
          </c:spPr>
          <c:txPr>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690475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Sheet4!$D$1</c:f>
              <c:strCache>
                <c:ptCount val="1"/>
                <c:pt idx="0">
                  <c:v>2/6 Impact15</c:v>
                </c:pt>
              </c:strCache>
            </c:strRef>
          </c:tx>
          <c:spPr>
            <a:ln w="28575" cap="rnd">
              <a:solidFill>
                <a:schemeClr val="accent1"/>
              </a:solidFill>
              <a:round/>
            </a:ln>
            <a:effectLst/>
          </c:spPr>
          <c:marker>
            <c:symbol val="none"/>
          </c:marker>
          <c:val>
            <c:numRef>
              <c:f>Sheet4!$D$2:$D$97</c:f>
              <c:numCache>
                <c:formatCode>0.0</c:formatCode>
                <c:ptCount val="96"/>
                <c:pt idx="0">
                  <c:v>0.61437660000000005</c:v>
                </c:pt>
                <c:pt idx="1">
                  <c:v>2.1217739999999998</c:v>
                </c:pt>
                <c:pt idx="2">
                  <c:v>1.5039439999999999</c:v>
                </c:pt>
                <c:pt idx="3">
                  <c:v>1.795536</c:v>
                </c:pt>
                <c:pt idx="4">
                  <c:v>1.3482749999999999</c:v>
                </c:pt>
                <c:pt idx="5">
                  <c:v>3.4673729999999998</c:v>
                </c:pt>
                <c:pt idx="6">
                  <c:v>4.97342</c:v>
                </c:pt>
                <c:pt idx="7">
                  <c:v>5.0392869999999998</c:v>
                </c:pt>
                <c:pt idx="8">
                  <c:v>8.9969420000000007</c:v>
                </c:pt>
                <c:pt idx="9">
                  <c:v>8.7236600000000006</c:v>
                </c:pt>
                <c:pt idx="10">
                  <c:v>8.1482620000000008</c:v>
                </c:pt>
                <c:pt idx="11">
                  <c:v>7.7800440000000002</c:v>
                </c:pt>
                <c:pt idx="12">
                  <c:v>7.3884020000000001</c:v>
                </c:pt>
                <c:pt idx="13">
                  <c:v>7.8360539999999999</c:v>
                </c:pt>
                <c:pt idx="14">
                  <c:v>5.9039229999999998</c:v>
                </c:pt>
                <c:pt idx="15">
                  <c:v>3.4596610000000001</c:v>
                </c:pt>
                <c:pt idx="16">
                  <c:v>2.052197</c:v>
                </c:pt>
                <c:pt idx="17">
                  <c:v>-1.1939329999999999</c:v>
                </c:pt>
                <c:pt idx="18">
                  <c:v>-0.73926970000000003</c:v>
                </c:pt>
                <c:pt idx="19">
                  <c:v>-1.0357959999999999</c:v>
                </c:pt>
                <c:pt idx="20">
                  <c:v>-1.951543</c:v>
                </c:pt>
                <c:pt idx="21">
                  <c:v>-1.146952</c:v>
                </c:pt>
                <c:pt idx="22">
                  <c:v>-3.2267229999999998</c:v>
                </c:pt>
                <c:pt idx="23">
                  <c:v>-5.6734609999999996</c:v>
                </c:pt>
                <c:pt idx="24">
                  <c:v>-2.1604230000000002</c:v>
                </c:pt>
                <c:pt idx="25">
                  <c:v>5.6200599999999996</c:v>
                </c:pt>
                <c:pt idx="26">
                  <c:v>6.6181239999999999</c:v>
                </c:pt>
                <c:pt idx="27">
                  <c:v>2.9765630000000001</c:v>
                </c:pt>
                <c:pt idx="28">
                  <c:v>2.9216989999999998</c:v>
                </c:pt>
                <c:pt idx="29">
                  <c:v>7.7363530000000003</c:v>
                </c:pt>
                <c:pt idx="30">
                  <c:v>2.1569229999999999</c:v>
                </c:pt>
                <c:pt idx="31">
                  <c:v>-0.35968270000000002</c:v>
                </c:pt>
                <c:pt idx="32">
                  <c:v>-3.9614449999999999</c:v>
                </c:pt>
                <c:pt idx="33">
                  <c:v>-3.9137770000000001</c:v>
                </c:pt>
                <c:pt idx="34">
                  <c:v>-3.527914</c:v>
                </c:pt>
                <c:pt idx="35">
                  <c:v>0.26044810000000002</c:v>
                </c:pt>
                <c:pt idx="36">
                  <c:v>3.044886</c:v>
                </c:pt>
                <c:pt idx="37">
                  <c:v>4.7086810000000003</c:v>
                </c:pt>
                <c:pt idx="38">
                  <c:v>3.186382</c:v>
                </c:pt>
                <c:pt idx="39">
                  <c:v>5.8843389999999998</c:v>
                </c:pt>
                <c:pt idx="40">
                  <c:v>8.4447369999999999</c:v>
                </c:pt>
                <c:pt idx="41">
                  <c:v>10.524570000000001</c:v>
                </c:pt>
                <c:pt idx="42">
                  <c:v>5.4165070000000002</c:v>
                </c:pt>
                <c:pt idx="43">
                  <c:v>10.28327</c:v>
                </c:pt>
                <c:pt idx="44">
                  <c:v>11.36158</c:v>
                </c:pt>
                <c:pt idx="45">
                  <c:v>10.752940000000001</c:v>
                </c:pt>
                <c:pt idx="46">
                  <c:v>8.9531240000000007</c:v>
                </c:pt>
                <c:pt idx="47">
                  <c:v>6.0452110000000001</c:v>
                </c:pt>
                <c:pt idx="48">
                  <c:v>6.337834</c:v>
                </c:pt>
                <c:pt idx="49">
                  <c:v>5.1122629999999996</c:v>
                </c:pt>
                <c:pt idx="50">
                  <c:v>4.6838160000000002</c:v>
                </c:pt>
                <c:pt idx="51">
                  <c:v>7.2987250000000001</c:v>
                </c:pt>
                <c:pt idx="52">
                  <c:v>6.391826</c:v>
                </c:pt>
                <c:pt idx="53">
                  <c:v>7.3268579999999996</c:v>
                </c:pt>
                <c:pt idx="54">
                  <c:v>6.0199189999999998</c:v>
                </c:pt>
                <c:pt idx="55">
                  <c:v>2.3572410000000001</c:v>
                </c:pt>
                <c:pt idx="56">
                  <c:v>0.15595290000000001</c:v>
                </c:pt>
                <c:pt idx="57">
                  <c:v>1.038664</c:v>
                </c:pt>
                <c:pt idx="58">
                  <c:v>2.471098</c:v>
                </c:pt>
                <c:pt idx="59">
                  <c:v>13.9689</c:v>
                </c:pt>
                <c:pt idx="60">
                  <c:v>84.724429999999998</c:v>
                </c:pt>
                <c:pt idx="61">
                  <c:v>158.81389999999999</c:v>
                </c:pt>
                <c:pt idx="62">
                  <c:v>181.00360000000001</c:v>
                </c:pt>
                <c:pt idx="63">
                  <c:v>190.2277</c:v>
                </c:pt>
                <c:pt idx="64">
                  <c:v>202.93100000000001</c:v>
                </c:pt>
                <c:pt idx="65">
                  <c:v>206.5429</c:v>
                </c:pt>
                <c:pt idx="66">
                  <c:v>205.52010000000001</c:v>
                </c:pt>
                <c:pt idx="67">
                  <c:v>204.83189999999999</c:v>
                </c:pt>
                <c:pt idx="68">
                  <c:v>204.04480000000001</c:v>
                </c:pt>
                <c:pt idx="69">
                  <c:v>203.6328</c:v>
                </c:pt>
                <c:pt idx="70">
                  <c:v>202.45689999999999</c:v>
                </c:pt>
                <c:pt idx="71">
                  <c:v>201.3946</c:v>
                </c:pt>
                <c:pt idx="72">
                  <c:v>201.9511</c:v>
                </c:pt>
                <c:pt idx="73">
                  <c:v>203.06</c:v>
                </c:pt>
                <c:pt idx="74">
                  <c:v>202.15899999999999</c:v>
                </c:pt>
                <c:pt idx="75">
                  <c:v>203.08879999999999</c:v>
                </c:pt>
                <c:pt idx="76">
                  <c:v>201.79470000000001</c:v>
                </c:pt>
                <c:pt idx="77">
                  <c:v>160.9829</c:v>
                </c:pt>
                <c:pt idx="78">
                  <c:v>112.3836</c:v>
                </c:pt>
                <c:pt idx="79">
                  <c:v>90.701480000000004</c:v>
                </c:pt>
                <c:pt idx="80">
                  <c:v>72.649479999999997</c:v>
                </c:pt>
                <c:pt idx="81">
                  <c:v>62.742640000000002</c:v>
                </c:pt>
                <c:pt idx="82">
                  <c:v>56.960290000000001</c:v>
                </c:pt>
                <c:pt idx="83">
                  <c:v>53.788780000000003</c:v>
                </c:pt>
                <c:pt idx="84">
                  <c:v>54.084380000000003</c:v>
                </c:pt>
                <c:pt idx="85">
                  <c:v>50.199710000000003</c:v>
                </c:pt>
                <c:pt idx="86">
                  <c:v>45.868870000000001</c:v>
                </c:pt>
                <c:pt idx="87">
                  <c:v>42.77787</c:v>
                </c:pt>
                <c:pt idx="88">
                  <c:v>42.945659999999997</c:v>
                </c:pt>
                <c:pt idx="89">
                  <c:v>41.657060000000001</c:v>
                </c:pt>
                <c:pt idx="90">
                  <c:v>40.504089999999998</c:v>
                </c:pt>
                <c:pt idx="91">
                  <c:v>42.395620000000001</c:v>
                </c:pt>
                <c:pt idx="92">
                  <c:v>40.057000000000002</c:v>
                </c:pt>
                <c:pt idx="93">
                  <c:v>39.513849999999998</c:v>
                </c:pt>
                <c:pt idx="94">
                  <c:v>32.069020000000002</c:v>
                </c:pt>
                <c:pt idx="95">
                  <c:v>29.89809</c:v>
                </c:pt>
              </c:numCache>
            </c:numRef>
          </c:val>
          <c:smooth val="0"/>
        </c:ser>
        <c:ser>
          <c:idx val="1"/>
          <c:order val="1"/>
          <c:tx>
            <c:strRef>
              <c:f>Sheet4!$E$1</c:f>
              <c:strCache>
                <c:ptCount val="1"/>
                <c:pt idx="0">
                  <c:v>2/6 Impact60</c:v>
                </c:pt>
              </c:strCache>
            </c:strRef>
          </c:tx>
          <c:spPr>
            <a:ln w="28575" cap="rnd">
              <a:solidFill>
                <a:schemeClr val="accent2"/>
              </a:solidFill>
              <a:round/>
            </a:ln>
            <a:effectLst/>
          </c:spPr>
          <c:marker>
            <c:symbol val="none"/>
          </c:marker>
          <c:val>
            <c:numRef>
              <c:f>Sheet4!$E$2:$E$97</c:f>
              <c:numCache>
                <c:formatCode>0.0</c:formatCode>
                <c:ptCount val="96"/>
                <c:pt idx="0">
                  <c:v>-0.49061900000000003</c:v>
                </c:pt>
                <c:pt idx="1">
                  <c:v>-0.49061900000000003</c:v>
                </c:pt>
                <c:pt idx="2">
                  <c:v>-0.49061900000000003</c:v>
                </c:pt>
                <c:pt idx="3">
                  <c:v>-0.49061900000000003</c:v>
                </c:pt>
                <c:pt idx="4">
                  <c:v>2.214639</c:v>
                </c:pt>
                <c:pt idx="5">
                  <c:v>2.214639</c:v>
                </c:pt>
                <c:pt idx="6">
                  <c:v>2.214639</c:v>
                </c:pt>
                <c:pt idx="7">
                  <c:v>2.214639</c:v>
                </c:pt>
                <c:pt idx="8">
                  <c:v>7.9110120000000004</c:v>
                </c:pt>
                <c:pt idx="9">
                  <c:v>7.9110120000000004</c:v>
                </c:pt>
                <c:pt idx="10">
                  <c:v>7.9110120000000004</c:v>
                </c:pt>
                <c:pt idx="11">
                  <c:v>7.9110120000000004</c:v>
                </c:pt>
                <c:pt idx="12">
                  <c:v>5.907089</c:v>
                </c:pt>
                <c:pt idx="13">
                  <c:v>5.907089</c:v>
                </c:pt>
                <c:pt idx="14">
                  <c:v>5.907089</c:v>
                </c:pt>
                <c:pt idx="15">
                  <c:v>5.907089</c:v>
                </c:pt>
                <c:pt idx="16">
                  <c:v>-0.13796710000000001</c:v>
                </c:pt>
                <c:pt idx="17">
                  <c:v>-0.13796710000000001</c:v>
                </c:pt>
                <c:pt idx="18">
                  <c:v>-0.13796710000000001</c:v>
                </c:pt>
                <c:pt idx="19">
                  <c:v>-0.13796710000000001</c:v>
                </c:pt>
                <c:pt idx="20">
                  <c:v>-2.5939139999999998</c:v>
                </c:pt>
                <c:pt idx="21">
                  <c:v>-2.5939139999999998</c:v>
                </c:pt>
                <c:pt idx="22">
                  <c:v>-2.5939139999999998</c:v>
                </c:pt>
                <c:pt idx="23">
                  <c:v>-2.5939139999999998</c:v>
                </c:pt>
                <c:pt idx="24">
                  <c:v>2.5749200000000001</c:v>
                </c:pt>
                <c:pt idx="25">
                  <c:v>2.5749200000000001</c:v>
                </c:pt>
                <c:pt idx="26">
                  <c:v>2.5749200000000001</c:v>
                </c:pt>
                <c:pt idx="27">
                  <c:v>2.5749200000000001</c:v>
                </c:pt>
                <c:pt idx="28">
                  <c:v>2.3162759999999998</c:v>
                </c:pt>
                <c:pt idx="29">
                  <c:v>2.3162759999999998</c:v>
                </c:pt>
                <c:pt idx="30">
                  <c:v>2.3162759999999998</c:v>
                </c:pt>
                <c:pt idx="31">
                  <c:v>2.3162759999999998</c:v>
                </c:pt>
                <c:pt idx="32">
                  <c:v>-3.198115</c:v>
                </c:pt>
                <c:pt idx="33">
                  <c:v>-3.198115</c:v>
                </c:pt>
                <c:pt idx="34">
                  <c:v>-3.198115</c:v>
                </c:pt>
                <c:pt idx="35">
                  <c:v>-3.198115</c:v>
                </c:pt>
                <c:pt idx="36">
                  <c:v>2.1075879999999998</c:v>
                </c:pt>
                <c:pt idx="37">
                  <c:v>2.1075879999999998</c:v>
                </c:pt>
                <c:pt idx="38">
                  <c:v>2.1075879999999998</c:v>
                </c:pt>
                <c:pt idx="39">
                  <c:v>2.1075879999999998</c:v>
                </c:pt>
                <c:pt idx="40">
                  <c:v>5.4159420000000003</c:v>
                </c:pt>
                <c:pt idx="41">
                  <c:v>5.4159420000000003</c:v>
                </c:pt>
                <c:pt idx="42">
                  <c:v>5.4159420000000003</c:v>
                </c:pt>
                <c:pt idx="43">
                  <c:v>5.4159420000000003</c:v>
                </c:pt>
                <c:pt idx="44">
                  <c:v>5.8485500000000004</c:v>
                </c:pt>
                <c:pt idx="45">
                  <c:v>5.8485500000000004</c:v>
                </c:pt>
                <c:pt idx="46">
                  <c:v>5.8485500000000004</c:v>
                </c:pt>
                <c:pt idx="47">
                  <c:v>5.8485500000000004</c:v>
                </c:pt>
                <c:pt idx="48">
                  <c:v>2.7884929999999999</c:v>
                </c:pt>
                <c:pt idx="49">
                  <c:v>2.7884929999999999</c:v>
                </c:pt>
                <c:pt idx="50">
                  <c:v>2.7884929999999999</c:v>
                </c:pt>
                <c:pt idx="51">
                  <c:v>2.7884929999999999</c:v>
                </c:pt>
                <c:pt idx="52">
                  <c:v>5.603262</c:v>
                </c:pt>
                <c:pt idx="53">
                  <c:v>5.603262</c:v>
                </c:pt>
                <c:pt idx="54">
                  <c:v>5.603262</c:v>
                </c:pt>
                <c:pt idx="55">
                  <c:v>5.603262</c:v>
                </c:pt>
                <c:pt idx="56">
                  <c:v>3.6174240000000002</c:v>
                </c:pt>
                <c:pt idx="57">
                  <c:v>3.6174240000000002</c:v>
                </c:pt>
                <c:pt idx="58">
                  <c:v>3.6174240000000002</c:v>
                </c:pt>
                <c:pt idx="59">
                  <c:v>3.6174240000000002</c:v>
                </c:pt>
                <c:pt idx="60">
                  <c:v>151.8434</c:v>
                </c:pt>
                <c:pt idx="61">
                  <c:v>151.8434</c:v>
                </c:pt>
                <c:pt idx="62">
                  <c:v>151.8434</c:v>
                </c:pt>
                <c:pt idx="63">
                  <c:v>151.8434</c:v>
                </c:pt>
                <c:pt idx="64">
                  <c:v>201.9573</c:v>
                </c:pt>
                <c:pt idx="65">
                  <c:v>201.9573</c:v>
                </c:pt>
                <c:pt idx="66">
                  <c:v>201.9573</c:v>
                </c:pt>
                <c:pt idx="67">
                  <c:v>201.9573</c:v>
                </c:pt>
                <c:pt idx="68">
                  <c:v>199.18610000000001</c:v>
                </c:pt>
                <c:pt idx="69">
                  <c:v>199.18610000000001</c:v>
                </c:pt>
                <c:pt idx="70">
                  <c:v>199.18610000000001</c:v>
                </c:pt>
                <c:pt idx="71">
                  <c:v>199.18610000000001</c:v>
                </c:pt>
                <c:pt idx="72">
                  <c:v>199.1052</c:v>
                </c:pt>
                <c:pt idx="73">
                  <c:v>199.1052</c:v>
                </c:pt>
                <c:pt idx="74">
                  <c:v>199.1052</c:v>
                </c:pt>
                <c:pt idx="75">
                  <c:v>199.1052</c:v>
                </c:pt>
                <c:pt idx="76">
                  <c:v>138.77420000000001</c:v>
                </c:pt>
                <c:pt idx="77">
                  <c:v>138.77420000000001</c:v>
                </c:pt>
                <c:pt idx="78">
                  <c:v>138.77420000000001</c:v>
                </c:pt>
                <c:pt idx="79">
                  <c:v>138.77420000000001</c:v>
                </c:pt>
                <c:pt idx="80">
                  <c:v>58.195819999999998</c:v>
                </c:pt>
                <c:pt idx="81">
                  <c:v>58.195819999999998</c:v>
                </c:pt>
                <c:pt idx="82">
                  <c:v>58.195819999999998</c:v>
                </c:pt>
                <c:pt idx="83">
                  <c:v>58.195819999999998</c:v>
                </c:pt>
                <c:pt idx="84">
                  <c:v>44.721449999999997</c:v>
                </c:pt>
                <c:pt idx="85">
                  <c:v>44.721449999999997</c:v>
                </c:pt>
                <c:pt idx="86">
                  <c:v>44.721449999999997</c:v>
                </c:pt>
                <c:pt idx="87">
                  <c:v>44.721449999999997</c:v>
                </c:pt>
                <c:pt idx="88">
                  <c:v>38.398890000000002</c:v>
                </c:pt>
                <c:pt idx="89">
                  <c:v>38.398890000000002</c:v>
                </c:pt>
                <c:pt idx="90">
                  <c:v>38.398890000000002</c:v>
                </c:pt>
                <c:pt idx="91">
                  <c:v>38.398890000000002</c:v>
                </c:pt>
                <c:pt idx="92">
                  <c:v>31.78725</c:v>
                </c:pt>
                <c:pt idx="93">
                  <c:v>31.78725</c:v>
                </c:pt>
                <c:pt idx="94">
                  <c:v>31.78725</c:v>
                </c:pt>
                <c:pt idx="95">
                  <c:v>31.78725</c:v>
                </c:pt>
              </c:numCache>
            </c:numRef>
          </c:val>
          <c:smooth val="0"/>
        </c:ser>
        <c:ser>
          <c:idx val="2"/>
          <c:order val="2"/>
          <c:tx>
            <c:strRef>
              <c:f>Sheet4!$F$1</c:f>
              <c:strCache>
                <c:ptCount val="1"/>
                <c:pt idx="0">
                  <c:v>9/11 Impact15</c:v>
                </c:pt>
              </c:strCache>
            </c:strRef>
          </c:tx>
          <c:spPr>
            <a:ln w="28575" cap="rnd">
              <a:solidFill>
                <a:schemeClr val="accent3"/>
              </a:solidFill>
              <a:round/>
            </a:ln>
            <a:effectLst/>
          </c:spPr>
          <c:marker>
            <c:symbol val="none"/>
          </c:marker>
          <c:val>
            <c:numRef>
              <c:f>Sheet4!$F$2:$F$97</c:f>
              <c:numCache>
                <c:formatCode>0.0</c:formatCode>
                <c:ptCount val="96"/>
                <c:pt idx="0">
                  <c:v>3.0513859999999999</c:v>
                </c:pt>
                <c:pt idx="1">
                  <c:v>1.9545349999999999</c:v>
                </c:pt>
                <c:pt idx="2">
                  <c:v>2.3951829999999998</c:v>
                </c:pt>
                <c:pt idx="3">
                  <c:v>2.6179190000000001</c:v>
                </c:pt>
                <c:pt idx="4">
                  <c:v>2.723198</c:v>
                </c:pt>
                <c:pt idx="5">
                  <c:v>-5.123653</c:v>
                </c:pt>
                <c:pt idx="6">
                  <c:v>-7.1781189999999997</c:v>
                </c:pt>
                <c:pt idx="7">
                  <c:v>-7.3158139999999996</c:v>
                </c:pt>
                <c:pt idx="8">
                  <c:v>-5.7092000000000001</c:v>
                </c:pt>
                <c:pt idx="9">
                  <c:v>-3.7897430000000001</c:v>
                </c:pt>
                <c:pt idx="10">
                  <c:v>-6.2848810000000004</c:v>
                </c:pt>
                <c:pt idx="11">
                  <c:v>-10.7865</c:v>
                </c:pt>
                <c:pt idx="12">
                  <c:v>-2.7963040000000001</c:v>
                </c:pt>
                <c:pt idx="13">
                  <c:v>1.9521489999999999</c:v>
                </c:pt>
                <c:pt idx="14">
                  <c:v>-1.4735609999999999</c:v>
                </c:pt>
                <c:pt idx="15">
                  <c:v>-2.631319</c:v>
                </c:pt>
                <c:pt idx="16">
                  <c:v>-3.506345</c:v>
                </c:pt>
                <c:pt idx="17">
                  <c:v>-3.4803820000000001</c:v>
                </c:pt>
                <c:pt idx="18">
                  <c:v>0.20178670000000001</c:v>
                </c:pt>
                <c:pt idx="19">
                  <c:v>-0.1153946</c:v>
                </c:pt>
                <c:pt idx="20">
                  <c:v>-5.04894</c:v>
                </c:pt>
                <c:pt idx="21">
                  <c:v>-6.145867</c:v>
                </c:pt>
                <c:pt idx="22">
                  <c:v>-5.0032870000000003</c:v>
                </c:pt>
                <c:pt idx="23">
                  <c:v>-4.6118449999999998</c:v>
                </c:pt>
                <c:pt idx="24">
                  <c:v>-3.2482389999999999</c:v>
                </c:pt>
                <c:pt idx="25">
                  <c:v>1.6019399999999999</c:v>
                </c:pt>
                <c:pt idx="26">
                  <c:v>3.706499</c:v>
                </c:pt>
                <c:pt idx="27">
                  <c:v>6.5930580000000001</c:v>
                </c:pt>
                <c:pt idx="28">
                  <c:v>5.2948370000000002</c:v>
                </c:pt>
                <c:pt idx="29">
                  <c:v>6.4415969999999998</c:v>
                </c:pt>
                <c:pt idx="30">
                  <c:v>4.6386560000000001</c:v>
                </c:pt>
                <c:pt idx="31">
                  <c:v>-0.86221740000000002</c:v>
                </c:pt>
                <c:pt idx="32">
                  <c:v>-1.260413</c:v>
                </c:pt>
                <c:pt idx="33">
                  <c:v>8.63979E-2</c:v>
                </c:pt>
                <c:pt idx="34">
                  <c:v>1.7478590000000001</c:v>
                </c:pt>
                <c:pt idx="35">
                  <c:v>2.2690839999999999</c:v>
                </c:pt>
                <c:pt idx="36">
                  <c:v>-2.7451989999999999</c:v>
                </c:pt>
                <c:pt idx="37">
                  <c:v>3.137985</c:v>
                </c:pt>
                <c:pt idx="38">
                  <c:v>0.72161419999999998</c:v>
                </c:pt>
                <c:pt idx="39">
                  <c:v>3.309644</c:v>
                </c:pt>
                <c:pt idx="40">
                  <c:v>3.1371959999999999</c:v>
                </c:pt>
                <c:pt idx="41">
                  <c:v>4.5999629999999998</c:v>
                </c:pt>
                <c:pt idx="42">
                  <c:v>3.8925019999999999</c:v>
                </c:pt>
                <c:pt idx="43">
                  <c:v>-2.5812379999999999</c:v>
                </c:pt>
                <c:pt idx="44">
                  <c:v>-3.812195</c:v>
                </c:pt>
                <c:pt idx="45">
                  <c:v>-1.6714450000000001</c:v>
                </c:pt>
                <c:pt idx="46">
                  <c:v>-5.5649749999999996</c:v>
                </c:pt>
                <c:pt idx="47">
                  <c:v>-9.1769259999999999</c:v>
                </c:pt>
                <c:pt idx="48">
                  <c:v>-4.6264880000000002</c:v>
                </c:pt>
                <c:pt idx="49">
                  <c:v>-2.9277440000000001</c:v>
                </c:pt>
                <c:pt idx="50">
                  <c:v>-1.042492</c:v>
                </c:pt>
                <c:pt idx="51">
                  <c:v>-3.1063749999999999</c:v>
                </c:pt>
                <c:pt idx="52">
                  <c:v>-2.4251369999999999</c:v>
                </c:pt>
                <c:pt idx="53">
                  <c:v>7.8079489999999998</c:v>
                </c:pt>
                <c:pt idx="54">
                  <c:v>61.796039999999998</c:v>
                </c:pt>
                <c:pt idx="55">
                  <c:v>167.3663</c:v>
                </c:pt>
                <c:pt idx="56">
                  <c:v>230.2551</c:v>
                </c:pt>
                <c:pt idx="57">
                  <c:v>233.94569999999999</c:v>
                </c:pt>
                <c:pt idx="58">
                  <c:v>232.447</c:v>
                </c:pt>
                <c:pt idx="59">
                  <c:v>230.79310000000001</c:v>
                </c:pt>
                <c:pt idx="60">
                  <c:v>226.64490000000001</c:v>
                </c:pt>
                <c:pt idx="61">
                  <c:v>225.4708</c:v>
                </c:pt>
                <c:pt idx="62">
                  <c:v>223.45830000000001</c:v>
                </c:pt>
                <c:pt idx="63">
                  <c:v>222.4384</c:v>
                </c:pt>
                <c:pt idx="64">
                  <c:v>172.06909999999999</c:v>
                </c:pt>
                <c:pt idx="65">
                  <c:v>113.0517</c:v>
                </c:pt>
                <c:pt idx="66">
                  <c:v>89.407859999999999</c:v>
                </c:pt>
                <c:pt idx="67">
                  <c:v>70.549289999999999</c:v>
                </c:pt>
                <c:pt idx="68">
                  <c:v>62.384839999999997</c:v>
                </c:pt>
                <c:pt idx="69">
                  <c:v>57.733719999999998</c:v>
                </c:pt>
                <c:pt idx="70">
                  <c:v>55.239759999999997</c:v>
                </c:pt>
                <c:pt idx="71">
                  <c:v>50.389620000000001</c:v>
                </c:pt>
                <c:pt idx="72">
                  <c:v>46.487920000000003</c:v>
                </c:pt>
                <c:pt idx="73">
                  <c:v>45.859679999999997</c:v>
                </c:pt>
                <c:pt idx="74">
                  <c:v>43.408200000000001</c:v>
                </c:pt>
                <c:pt idx="75">
                  <c:v>40.70814</c:v>
                </c:pt>
                <c:pt idx="76">
                  <c:v>40.002650000000003</c:v>
                </c:pt>
                <c:pt idx="77">
                  <c:v>37.944189999999999</c:v>
                </c:pt>
                <c:pt idx="78">
                  <c:v>38.179279999999999</c:v>
                </c:pt>
                <c:pt idx="79">
                  <c:v>38.447679999999998</c:v>
                </c:pt>
                <c:pt idx="80">
                  <c:v>34.872979999999998</c:v>
                </c:pt>
                <c:pt idx="81">
                  <c:v>35.73854</c:v>
                </c:pt>
                <c:pt idx="82">
                  <c:v>34.818689999999997</c:v>
                </c:pt>
                <c:pt idx="83">
                  <c:v>35.203859999999999</c:v>
                </c:pt>
                <c:pt idx="84">
                  <c:v>36.749969999999998</c:v>
                </c:pt>
                <c:pt idx="85">
                  <c:v>40.313589999999998</c:v>
                </c:pt>
                <c:pt idx="86">
                  <c:v>40.077089999999998</c:v>
                </c:pt>
                <c:pt idx="87">
                  <c:v>37.773859999999999</c:v>
                </c:pt>
                <c:pt idx="88">
                  <c:v>34.942279999999997</c:v>
                </c:pt>
                <c:pt idx="89">
                  <c:v>33.196210000000001</c:v>
                </c:pt>
                <c:pt idx="90">
                  <c:v>34.664490000000001</c:v>
                </c:pt>
                <c:pt idx="91">
                  <c:v>32.308320000000002</c:v>
                </c:pt>
                <c:pt idx="92">
                  <c:v>25.17315</c:v>
                </c:pt>
                <c:pt idx="93">
                  <c:v>21.806529999999999</c:v>
                </c:pt>
                <c:pt idx="94">
                  <c:v>24.877859999999998</c:v>
                </c:pt>
                <c:pt idx="95">
                  <c:v>25.498080000000002</c:v>
                </c:pt>
              </c:numCache>
            </c:numRef>
          </c:val>
          <c:smooth val="0"/>
        </c:ser>
        <c:ser>
          <c:idx val="3"/>
          <c:order val="3"/>
          <c:tx>
            <c:strRef>
              <c:f>Sheet4!$G$1</c:f>
              <c:strCache>
                <c:ptCount val="1"/>
                <c:pt idx="0">
                  <c:v>9/11 Impact60</c:v>
                </c:pt>
              </c:strCache>
            </c:strRef>
          </c:tx>
          <c:spPr>
            <a:ln w="28575" cap="rnd">
              <a:solidFill>
                <a:schemeClr val="accent4"/>
              </a:solidFill>
              <a:round/>
            </a:ln>
            <a:effectLst/>
          </c:spPr>
          <c:marker>
            <c:symbol val="none"/>
          </c:marker>
          <c:val>
            <c:numRef>
              <c:f>Sheet4!$G$2:$G$97</c:f>
              <c:numCache>
                <c:formatCode>0.0</c:formatCode>
                <c:ptCount val="96"/>
                <c:pt idx="0">
                  <c:v>2.5047570000000001</c:v>
                </c:pt>
                <c:pt idx="1">
                  <c:v>2.5047570000000001</c:v>
                </c:pt>
                <c:pt idx="2">
                  <c:v>2.5047570000000001</c:v>
                </c:pt>
                <c:pt idx="3">
                  <c:v>2.5047570000000001</c:v>
                </c:pt>
                <c:pt idx="4">
                  <c:v>-4.2235969999999998</c:v>
                </c:pt>
                <c:pt idx="5">
                  <c:v>-4.2235969999999998</c:v>
                </c:pt>
                <c:pt idx="6">
                  <c:v>-4.2235969999999998</c:v>
                </c:pt>
                <c:pt idx="7">
                  <c:v>-4.2235969999999998</c:v>
                </c:pt>
                <c:pt idx="8">
                  <c:v>-6.642576</c:v>
                </c:pt>
                <c:pt idx="9">
                  <c:v>-6.642576</c:v>
                </c:pt>
                <c:pt idx="10">
                  <c:v>-6.642576</c:v>
                </c:pt>
                <c:pt idx="11">
                  <c:v>-6.642576</c:v>
                </c:pt>
                <c:pt idx="12">
                  <c:v>-1.2372570000000001</c:v>
                </c:pt>
                <c:pt idx="13">
                  <c:v>-1.2372570000000001</c:v>
                </c:pt>
                <c:pt idx="14">
                  <c:v>-1.2372570000000001</c:v>
                </c:pt>
                <c:pt idx="15">
                  <c:v>-1.2372570000000001</c:v>
                </c:pt>
                <c:pt idx="16">
                  <c:v>-1.725082</c:v>
                </c:pt>
                <c:pt idx="17">
                  <c:v>-1.725082</c:v>
                </c:pt>
                <c:pt idx="18">
                  <c:v>-1.725082</c:v>
                </c:pt>
                <c:pt idx="19">
                  <c:v>-1.725082</c:v>
                </c:pt>
                <c:pt idx="20">
                  <c:v>-5.2024860000000004</c:v>
                </c:pt>
                <c:pt idx="21">
                  <c:v>-5.2024860000000004</c:v>
                </c:pt>
                <c:pt idx="22">
                  <c:v>-5.2024860000000004</c:v>
                </c:pt>
                <c:pt idx="23">
                  <c:v>-5.2024860000000004</c:v>
                </c:pt>
                <c:pt idx="24">
                  <c:v>2.163316</c:v>
                </c:pt>
                <c:pt idx="25">
                  <c:v>2.163316</c:v>
                </c:pt>
                <c:pt idx="26">
                  <c:v>2.163316</c:v>
                </c:pt>
                <c:pt idx="27">
                  <c:v>2.163316</c:v>
                </c:pt>
                <c:pt idx="28">
                  <c:v>3.8782199999999998</c:v>
                </c:pt>
                <c:pt idx="29">
                  <c:v>3.8782199999999998</c:v>
                </c:pt>
                <c:pt idx="30">
                  <c:v>3.8782199999999998</c:v>
                </c:pt>
                <c:pt idx="31">
                  <c:v>3.8782199999999998</c:v>
                </c:pt>
                <c:pt idx="32">
                  <c:v>0.71073319999999995</c:v>
                </c:pt>
                <c:pt idx="33">
                  <c:v>0.71073319999999995</c:v>
                </c:pt>
                <c:pt idx="34">
                  <c:v>0.71073319999999995</c:v>
                </c:pt>
                <c:pt idx="35">
                  <c:v>0.71073319999999995</c:v>
                </c:pt>
                <c:pt idx="36">
                  <c:v>1.1060129999999999</c:v>
                </c:pt>
                <c:pt idx="37">
                  <c:v>1.1060129999999999</c:v>
                </c:pt>
                <c:pt idx="38">
                  <c:v>1.1060129999999999</c:v>
                </c:pt>
                <c:pt idx="39">
                  <c:v>1.1060129999999999</c:v>
                </c:pt>
                <c:pt idx="40">
                  <c:v>2.262105</c:v>
                </c:pt>
                <c:pt idx="41">
                  <c:v>2.262105</c:v>
                </c:pt>
                <c:pt idx="42">
                  <c:v>2.262105</c:v>
                </c:pt>
                <c:pt idx="43">
                  <c:v>2.262105</c:v>
                </c:pt>
                <c:pt idx="44">
                  <c:v>-5.0563859999999998</c:v>
                </c:pt>
                <c:pt idx="45">
                  <c:v>-5.0563859999999998</c:v>
                </c:pt>
                <c:pt idx="46">
                  <c:v>-5.0563859999999998</c:v>
                </c:pt>
                <c:pt idx="47">
                  <c:v>-5.0563859999999998</c:v>
                </c:pt>
                <c:pt idx="48">
                  <c:v>-2.9257759999999999</c:v>
                </c:pt>
                <c:pt idx="49">
                  <c:v>-2.9257759999999999</c:v>
                </c:pt>
                <c:pt idx="50">
                  <c:v>-2.9257759999999999</c:v>
                </c:pt>
                <c:pt idx="51">
                  <c:v>-2.9257759999999999</c:v>
                </c:pt>
                <c:pt idx="52">
                  <c:v>58.636279999999999</c:v>
                </c:pt>
                <c:pt idx="53">
                  <c:v>58.636279999999999</c:v>
                </c:pt>
                <c:pt idx="54">
                  <c:v>58.636279999999999</c:v>
                </c:pt>
                <c:pt idx="55">
                  <c:v>58.636279999999999</c:v>
                </c:pt>
                <c:pt idx="56">
                  <c:v>231.86019999999999</c:v>
                </c:pt>
                <c:pt idx="57">
                  <c:v>231.86019999999999</c:v>
                </c:pt>
                <c:pt idx="58">
                  <c:v>231.86019999999999</c:v>
                </c:pt>
                <c:pt idx="59">
                  <c:v>231.86019999999999</c:v>
                </c:pt>
                <c:pt idx="60">
                  <c:v>224.50309999999999</c:v>
                </c:pt>
                <c:pt idx="61">
                  <c:v>224.50309999999999</c:v>
                </c:pt>
                <c:pt idx="62">
                  <c:v>224.50309999999999</c:v>
                </c:pt>
                <c:pt idx="63">
                  <c:v>224.50309999999999</c:v>
                </c:pt>
                <c:pt idx="64">
                  <c:v>111.26949999999999</c:v>
                </c:pt>
                <c:pt idx="65">
                  <c:v>111.26949999999999</c:v>
                </c:pt>
                <c:pt idx="66">
                  <c:v>111.26949999999999</c:v>
                </c:pt>
                <c:pt idx="67">
                  <c:v>111.26949999999999</c:v>
                </c:pt>
                <c:pt idx="68">
                  <c:v>56.436990000000002</c:v>
                </c:pt>
                <c:pt idx="69">
                  <c:v>56.436990000000002</c:v>
                </c:pt>
                <c:pt idx="70">
                  <c:v>56.436990000000002</c:v>
                </c:pt>
                <c:pt idx="71">
                  <c:v>56.436990000000002</c:v>
                </c:pt>
                <c:pt idx="72">
                  <c:v>44.11598</c:v>
                </c:pt>
                <c:pt idx="73">
                  <c:v>44.11598</c:v>
                </c:pt>
                <c:pt idx="74">
                  <c:v>44.11598</c:v>
                </c:pt>
                <c:pt idx="75">
                  <c:v>44.11598</c:v>
                </c:pt>
                <c:pt idx="76">
                  <c:v>38.643450000000001</c:v>
                </c:pt>
                <c:pt idx="77">
                  <c:v>38.643450000000001</c:v>
                </c:pt>
                <c:pt idx="78">
                  <c:v>38.643450000000001</c:v>
                </c:pt>
                <c:pt idx="79">
                  <c:v>38.643450000000001</c:v>
                </c:pt>
                <c:pt idx="80">
                  <c:v>35.158520000000003</c:v>
                </c:pt>
                <c:pt idx="81">
                  <c:v>35.158520000000003</c:v>
                </c:pt>
                <c:pt idx="82">
                  <c:v>35.158520000000003</c:v>
                </c:pt>
                <c:pt idx="83">
                  <c:v>35.158520000000003</c:v>
                </c:pt>
                <c:pt idx="84">
                  <c:v>38.728630000000003</c:v>
                </c:pt>
                <c:pt idx="85">
                  <c:v>38.728630000000003</c:v>
                </c:pt>
                <c:pt idx="86">
                  <c:v>38.728630000000003</c:v>
                </c:pt>
                <c:pt idx="87">
                  <c:v>38.728630000000003</c:v>
                </c:pt>
                <c:pt idx="88">
                  <c:v>33.777819999999998</c:v>
                </c:pt>
                <c:pt idx="89">
                  <c:v>33.777819999999998</c:v>
                </c:pt>
                <c:pt idx="90">
                  <c:v>33.777819999999998</c:v>
                </c:pt>
                <c:pt idx="91">
                  <c:v>33.777819999999998</c:v>
                </c:pt>
                <c:pt idx="92">
                  <c:v>24.338909999999998</c:v>
                </c:pt>
                <c:pt idx="93">
                  <c:v>24.338909999999998</c:v>
                </c:pt>
                <c:pt idx="94">
                  <c:v>24.338909999999998</c:v>
                </c:pt>
                <c:pt idx="95">
                  <c:v>24.338909999999998</c:v>
                </c:pt>
              </c:numCache>
            </c:numRef>
          </c:val>
          <c:smooth val="0"/>
        </c:ser>
        <c:dLbls>
          <c:showLegendKey val="0"/>
          <c:showVal val="0"/>
          <c:showCatName val="0"/>
          <c:showSerName val="0"/>
          <c:showPercent val="0"/>
          <c:showBubbleSize val="0"/>
        </c:dLbls>
        <c:smooth val="0"/>
        <c:axId val="532473456"/>
        <c:axId val="532474016"/>
      </c:lineChart>
      <c:catAx>
        <c:axId val="532473456"/>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Quarter Hour</a:t>
                </a:r>
              </a:p>
            </c:rich>
          </c:tx>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2474016"/>
        <c:crosses val="autoZero"/>
        <c:auto val="1"/>
        <c:lblAlgn val="ctr"/>
        <c:lblOffset val="100"/>
        <c:noMultiLvlLbl val="0"/>
      </c:catAx>
      <c:valAx>
        <c:axId val="5324740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Load Impact (MW)</a:t>
                </a:r>
              </a:p>
            </c:rich>
          </c:tx>
          <c:overlay val="0"/>
          <c:spPr>
            <a:noFill/>
            <a:ln>
              <a:noFill/>
            </a:ln>
            <a:effectLst/>
          </c:spPr>
          <c:txPr>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32473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Sheet1!$H$12</c:f>
              <c:strCache>
                <c:ptCount val="1"/>
                <c:pt idx="0">
                  <c:v>Utility 1-in-2</c:v>
                </c:pt>
              </c:strCache>
            </c:strRef>
          </c:tx>
          <c:spPr>
            <a:solidFill>
              <a:schemeClr val="accent1"/>
            </a:solidFill>
            <a:ln>
              <a:noFill/>
            </a:ln>
            <a:effectLst/>
          </c:spPr>
          <c:invertIfNegative val="0"/>
          <c:cat>
            <c:numRef>
              <c:f>Sheet1!$G$13:$G$15</c:f>
              <c:numCache>
                <c:formatCode>0</c:formatCode>
                <c:ptCount val="3"/>
                <c:pt idx="0">
                  <c:v>2015</c:v>
                </c:pt>
                <c:pt idx="1">
                  <c:v>2016</c:v>
                </c:pt>
                <c:pt idx="2">
                  <c:v>2017</c:v>
                </c:pt>
              </c:numCache>
            </c:numRef>
          </c:cat>
          <c:val>
            <c:numRef>
              <c:f>Sheet1!$H$13:$H$15</c:f>
              <c:numCache>
                <c:formatCode>General</c:formatCode>
                <c:ptCount val="3"/>
                <c:pt idx="0">
                  <c:v>668.16216000000009</c:v>
                </c:pt>
                <c:pt idx="1">
                  <c:v>650.88207999999997</c:v>
                </c:pt>
                <c:pt idx="2">
                  <c:v>633.60202000000004</c:v>
                </c:pt>
              </c:numCache>
            </c:numRef>
          </c:val>
        </c:ser>
        <c:ser>
          <c:idx val="1"/>
          <c:order val="1"/>
          <c:tx>
            <c:strRef>
              <c:f>Sheet1!$I$12</c:f>
              <c:strCache>
                <c:ptCount val="1"/>
                <c:pt idx="0">
                  <c:v>Utility 1-in-10</c:v>
                </c:pt>
              </c:strCache>
            </c:strRef>
          </c:tx>
          <c:spPr>
            <a:solidFill>
              <a:schemeClr val="accent2"/>
            </a:solidFill>
            <a:ln>
              <a:noFill/>
            </a:ln>
            <a:effectLst/>
          </c:spPr>
          <c:invertIfNegative val="0"/>
          <c:cat>
            <c:numRef>
              <c:f>Sheet1!$G$13:$G$15</c:f>
              <c:numCache>
                <c:formatCode>0</c:formatCode>
                <c:ptCount val="3"/>
                <c:pt idx="0">
                  <c:v>2015</c:v>
                </c:pt>
                <c:pt idx="1">
                  <c:v>2016</c:v>
                </c:pt>
                <c:pt idx="2">
                  <c:v>2017</c:v>
                </c:pt>
              </c:numCache>
            </c:numRef>
          </c:cat>
          <c:val>
            <c:numRef>
              <c:f>Sheet1!$I$13:$I$15</c:f>
              <c:numCache>
                <c:formatCode>General</c:formatCode>
                <c:ptCount val="3"/>
                <c:pt idx="0">
                  <c:v>666.87747999999999</c:v>
                </c:pt>
                <c:pt idx="1">
                  <c:v>649.63064000000008</c:v>
                </c:pt>
                <c:pt idx="2">
                  <c:v>632.38379999999995</c:v>
                </c:pt>
              </c:numCache>
            </c:numRef>
          </c:val>
        </c:ser>
        <c:ser>
          <c:idx val="2"/>
          <c:order val="2"/>
          <c:tx>
            <c:strRef>
              <c:f>Sheet1!$J$12</c:f>
              <c:strCache>
                <c:ptCount val="1"/>
                <c:pt idx="0">
                  <c:v>CAISO 1-in-2</c:v>
                </c:pt>
              </c:strCache>
            </c:strRef>
          </c:tx>
          <c:spPr>
            <a:solidFill>
              <a:schemeClr val="accent3"/>
            </a:solidFill>
            <a:ln>
              <a:noFill/>
            </a:ln>
            <a:effectLst/>
          </c:spPr>
          <c:invertIfNegative val="0"/>
          <c:cat>
            <c:numRef>
              <c:f>Sheet1!$G$13:$G$15</c:f>
              <c:numCache>
                <c:formatCode>0</c:formatCode>
                <c:ptCount val="3"/>
                <c:pt idx="0">
                  <c:v>2015</c:v>
                </c:pt>
                <c:pt idx="1">
                  <c:v>2016</c:v>
                </c:pt>
                <c:pt idx="2">
                  <c:v>2017</c:v>
                </c:pt>
              </c:numCache>
            </c:numRef>
          </c:cat>
          <c:val>
            <c:numRef>
              <c:f>Sheet1!$J$13:$J$15</c:f>
              <c:numCache>
                <c:formatCode>General</c:formatCode>
                <c:ptCount val="3"/>
                <c:pt idx="0">
                  <c:v>668.96172000000001</c:v>
                </c:pt>
                <c:pt idx="1">
                  <c:v>651.66099999999994</c:v>
                </c:pt>
                <c:pt idx="2">
                  <c:v>634.36024000000009</c:v>
                </c:pt>
              </c:numCache>
            </c:numRef>
          </c:val>
        </c:ser>
        <c:ser>
          <c:idx val="3"/>
          <c:order val="3"/>
          <c:tx>
            <c:strRef>
              <c:f>Sheet1!$K$12</c:f>
              <c:strCache>
                <c:ptCount val="1"/>
                <c:pt idx="0">
                  <c:v>CAISO 1-in-10</c:v>
                </c:pt>
              </c:strCache>
            </c:strRef>
          </c:tx>
          <c:spPr>
            <a:solidFill>
              <a:schemeClr val="accent4"/>
            </a:solidFill>
            <a:ln>
              <a:noFill/>
            </a:ln>
            <a:effectLst/>
          </c:spPr>
          <c:invertIfNegative val="0"/>
          <c:cat>
            <c:numRef>
              <c:f>Sheet1!$G$13:$G$15</c:f>
              <c:numCache>
                <c:formatCode>0</c:formatCode>
                <c:ptCount val="3"/>
                <c:pt idx="0">
                  <c:v>2015</c:v>
                </c:pt>
                <c:pt idx="1">
                  <c:v>2016</c:v>
                </c:pt>
                <c:pt idx="2">
                  <c:v>2017</c:v>
                </c:pt>
              </c:numCache>
            </c:numRef>
          </c:cat>
          <c:val>
            <c:numRef>
              <c:f>Sheet1!$K$13:$K$15</c:f>
              <c:numCache>
                <c:formatCode>General</c:formatCode>
                <c:ptCount val="3"/>
                <c:pt idx="0">
                  <c:v>668.10892000000001</c:v>
                </c:pt>
                <c:pt idx="1">
                  <c:v>650.83024</c:v>
                </c:pt>
                <c:pt idx="2">
                  <c:v>633.55158000000006</c:v>
                </c:pt>
              </c:numCache>
            </c:numRef>
          </c:val>
        </c:ser>
        <c:dLbls>
          <c:showLegendKey val="0"/>
          <c:showVal val="0"/>
          <c:showCatName val="0"/>
          <c:showSerName val="0"/>
          <c:showPercent val="0"/>
          <c:showBubbleSize val="0"/>
        </c:dLbls>
        <c:gapWidth val="219"/>
        <c:overlap val="-27"/>
        <c:axId val="690480384"/>
        <c:axId val="690480944"/>
      </c:barChart>
      <c:catAx>
        <c:axId val="690480384"/>
        <c:scaling>
          <c:orientation val="minMax"/>
        </c:scaling>
        <c:delete val="0"/>
        <c:axPos val="b"/>
        <c:title>
          <c:tx>
            <c:rich>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US" sz="1100"/>
                  <a:t>Forecast Year</a:t>
                </a:r>
              </a:p>
            </c:rich>
          </c:tx>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690480944"/>
        <c:crosses val="autoZero"/>
        <c:auto val="1"/>
        <c:lblAlgn val="ctr"/>
        <c:lblOffset val="100"/>
        <c:noMultiLvlLbl val="0"/>
      </c:catAx>
      <c:valAx>
        <c:axId val="690480944"/>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US" sz="1100"/>
                  <a:t> Load</a:t>
                </a:r>
                <a:r>
                  <a:rPr lang="en-US" sz="1100" baseline="0"/>
                  <a:t> Impact (MW)</a:t>
                </a:r>
                <a:endParaRPr lang="en-US" sz="1100"/>
              </a:p>
            </c:rich>
          </c:tx>
          <c:layout/>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6904803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3"/>
          <c:order val="4"/>
          <c:tx>
            <c:strRef>
              <c:f>Data!$L$2</c:f>
              <c:strCache>
                <c:ptCount val="1"/>
                <c:pt idx="0">
                  <c:v>Event Hours</c:v>
                </c:pt>
              </c:strCache>
            </c:strRef>
          </c:tx>
          <c:spPr>
            <a:solidFill>
              <a:schemeClr val="accent1">
                <a:lumMod val="20000"/>
                <a:lumOff val="80000"/>
              </a:schemeClr>
            </a:solidFill>
            <a:ln>
              <a:noFill/>
            </a:ln>
            <a:effectLst/>
          </c:spPr>
          <c:val>
            <c:numRef>
              <c:f>Data!$L$3:$L$26</c:f>
              <c:numCache>
                <c:formatCode>General</c:formatCode>
                <c:ptCount val="24"/>
                <c:pt idx="14" formatCode="0.0">
                  <c:v>400</c:v>
                </c:pt>
                <c:pt idx="15" formatCode="0.0">
                  <c:v>400</c:v>
                </c:pt>
              </c:numCache>
            </c:numRef>
          </c:val>
        </c:ser>
        <c:dLbls>
          <c:showLegendKey val="0"/>
          <c:showVal val="0"/>
          <c:showCatName val="0"/>
          <c:showSerName val="0"/>
          <c:showPercent val="0"/>
          <c:showBubbleSize val="0"/>
        </c:dLbls>
        <c:axId val="662726912"/>
        <c:axId val="662727472"/>
      </c:areaChart>
      <c:lineChart>
        <c:grouping val="standard"/>
        <c:varyColors val="0"/>
        <c:ser>
          <c:idx val="0"/>
          <c:order val="0"/>
          <c:tx>
            <c:strRef>
              <c:f>Data!$H$2</c:f>
              <c:strCache>
                <c:ptCount val="1"/>
                <c:pt idx="0">
                  <c:v>Reference</c:v>
                </c:pt>
              </c:strCache>
            </c:strRef>
          </c:tx>
          <c:spPr>
            <a:ln w="34925" cap="rnd">
              <a:solidFill>
                <a:schemeClr val="accent1"/>
              </a:solidFill>
              <a:round/>
            </a:ln>
            <a:effectLst/>
          </c:spPr>
          <c:marker>
            <c:symbol val="none"/>
          </c:marker>
          <c:val>
            <c:numRef>
              <c:f>Data!$H$3:$H$26</c:f>
              <c:numCache>
                <c:formatCode>0</c:formatCode>
                <c:ptCount val="24"/>
                <c:pt idx="0">
                  <c:v>273.9907</c:v>
                </c:pt>
                <c:pt idx="1">
                  <c:v>267.92649999999998</c:v>
                </c:pt>
                <c:pt idx="2">
                  <c:v>266.32900000000001</c:v>
                </c:pt>
                <c:pt idx="3">
                  <c:v>273.16019999999997</c:v>
                </c:pt>
                <c:pt idx="4">
                  <c:v>281.81639999999999</c:v>
                </c:pt>
                <c:pt idx="5">
                  <c:v>297.01780000000002</c:v>
                </c:pt>
                <c:pt idx="6">
                  <c:v>317.98059999999998</c:v>
                </c:pt>
                <c:pt idx="7">
                  <c:v>322.62630000000001</c:v>
                </c:pt>
                <c:pt idx="8">
                  <c:v>322.11009999999999</c:v>
                </c:pt>
                <c:pt idx="9">
                  <c:v>322.31950000000001</c:v>
                </c:pt>
                <c:pt idx="10">
                  <c:v>319.80380000000002</c:v>
                </c:pt>
                <c:pt idx="11">
                  <c:v>315.95429999999999</c:v>
                </c:pt>
                <c:pt idx="12">
                  <c:v>303.00029999999998</c:v>
                </c:pt>
                <c:pt idx="13">
                  <c:v>297.93979999999999</c:v>
                </c:pt>
                <c:pt idx="14">
                  <c:v>290.99119999999999</c:v>
                </c:pt>
                <c:pt idx="15">
                  <c:v>280.62459999999999</c:v>
                </c:pt>
                <c:pt idx="16">
                  <c:v>277.8784</c:v>
                </c:pt>
                <c:pt idx="17">
                  <c:v>274.23779999999999</c:v>
                </c:pt>
                <c:pt idx="18">
                  <c:v>281.93040000000002</c:v>
                </c:pt>
                <c:pt idx="19">
                  <c:v>286.70429999999999</c:v>
                </c:pt>
                <c:pt idx="20">
                  <c:v>286.11</c:v>
                </c:pt>
                <c:pt idx="21">
                  <c:v>288.02730000000003</c:v>
                </c:pt>
                <c:pt idx="22">
                  <c:v>285.29180000000002</c:v>
                </c:pt>
                <c:pt idx="23">
                  <c:v>280.67450000000002</c:v>
                </c:pt>
              </c:numCache>
            </c:numRef>
          </c:val>
          <c:smooth val="0"/>
        </c:ser>
        <c:ser>
          <c:idx val="1"/>
          <c:order val="1"/>
          <c:tx>
            <c:strRef>
              <c:f>Data!$I$2</c:f>
              <c:strCache>
                <c:ptCount val="1"/>
                <c:pt idx="0">
                  <c:v>Observed</c:v>
                </c:pt>
              </c:strCache>
            </c:strRef>
          </c:tx>
          <c:spPr>
            <a:ln w="38100" cap="rnd">
              <a:solidFill>
                <a:schemeClr val="accent2"/>
              </a:solidFill>
              <a:prstDash val="dash"/>
              <a:round/>
            </a:ln>
            <a:effectLst/>
          </c:spPr>
          <c:marker>
            <c:symbol val="none"/>
          </c:marker>
          <c:val>
            <c:numRef>
              <c:f>Data!$I$3:$I$26</c:f>
              <c:numCache>
                <c:formatCode>0</c:formatCode>
                <c:ptCount val="24"/>
                <c:pt idx="0">
                  <c:v>271.48594300000002</c:v>
                </c:pt>
                <c:pt idx="1">
                  <c:v>272.15009699999996</c:v>
                </c:pt>
                <c:pt idx="2">
                  <c:v>272.97157600000003</c:v>
                </c:pt>
                <c:pt idx="3">
                  <c:v>274.39745699999997</c:v>
                </c:pt>
                <c:pt idx="4">
                  <c:v>283.54148199999997</c:v>
                </c:pt>
                <c:pt idx="5">
                  <c:v>302.22028600000004</c:v>
                </c:pt>
                <c:pt idx="6">
                  <c:v>315.81728399999997</c:v>
                </c:pt>
                <c:pt idx="7">
                  <c:v>318.74808000000002</c:v>
                </c:pt>
                <c:pt idx="8">
                  <c:v>321.3993668</c:v>
                </c:pt>
                <c:pt idx="9">
                  <c:v>321.21348699999999</c:v>
                </c:pt>
                <c:pt idx="10">
                  <c:v>317.541695</c:v>
                </c:pt>
                <c:pt idx="11">
                  <c:v>321.01068599999996</c:v>
                </c:pt>
                <c:pt idx="12">
                  <c:v>305.92607599999997</c:v>
                </c:pt>
                <c:pt idx="13">
                  <c:v>239.30351999999999</c:v>
                </c:pt>
                <c:pt idx="14">
                  <c:v>59.131</c:v>
                </c:pt>
                <c:pt idx="15">
                  <c:v>56.121499999999997</c:v>
                </c:pt>
                <c:pt idx="16">
                  <c:v>166.60890000000001</c:v>
                </c:pt>
                <c:pt idx="17">
                  <c:v>217.80080999999998</c:v>
                </c:pt>
                <c:pt idx="18">
                  <c:v>237.81442000000001</c:v>
                </c:pt>
                <c:pt idx="19">
                  <c:v>248.06084999999999</c:v>
                </c:pt>
                <c:pt idx="20">
                  <c:v>250.95148</c:v>
                </c:pt>
                <c:pt idx="21">
                  <c:v>249.29867000000002</c:v>
                </c:pt>
                <c:pt idx="22">
                  <c:v>251.51398000000003</c:v>
                </c:pt>
                <c:pt idx="23">
                  <c:v>256.33559000000002</c:v>
                </c:pt>
              </c:numCache>
            </c:numRef>
          </c:val>
          <c:smooth val="0"/>
        </c:ser>
        <c:ser>
          <c:idx val="4"/>
          <c:order val="2"/>
          <c:tx>
            <c:strRef>
              <c:f>Data!$J$2</c:f>
              <c:strCache>
                <c:ptCount val="1"/>
                <c:pt idx="0">
                  <c:v>FSL</c:v>
                </c:pt>
              </c:strCache>
            </c:strRef>
          </c:tx>
          <c:spPr>
            <a:ln w="38100" cap="rnd">
              <a:solidFill>
                <a:schemeClr val="accent4">
                  <a:lumMod val="75000"/>
                </a:schemeClr>
              </a:solidFill>
              <a:round/>
            </a:ln>
            <a:effectLst/>
          </c:spPr>
          <c:marker>
            <c:symbol val="none"/>
          </c:marker>
          <c:val>
            <c:numRef>
              <c:f>Data!$J$3:$J$26</c:f>
              <c:numCache>
                <c:formatCode>0</c:formatCode>
                <c:ptCount val="24"/>
                <c:pt idx="0">
                  <c:v>61.753999999999998</c:v>
                </c:pt>
                <c:pt idx="1">
                  <c:v>61.753999999999998</c:v>
                </c:pt>
                <c:pt idx="2">
                  <c:v>61.753999999999998</c:v>
                </c:pt>
                <c:pt idx="3">
                  <c:v>61.753999999999998</c:v>
                </c:pt>
                <c:pt idx="4">
                  <c:v>61.753999999999998</c:v>
                </c:pt>
                <c:pt idx="5">
                  <c:v>61.753999999999998</c:v>
                </c:pt>
                <c:pt idx="6">
                  <c:v>61.753999999999998</c:v>
                </c:pt>
                <c:pt idx="7">
                  <c:v>61.753999999999998</c:v>
                </c:pt>
                <c:pt idx="8">
                  <c:v>61.753999999999998</c:v>
                </c:pt>
                <c:pt idx="9">
                  <c:v>61.753999999999998</c:v>
                </c:pt>
                <c:pt idx="10">
                  <c:v>61.753999999999998</c:v>
                </c:pt>
                <c:pt idx="11">
                  <c:v>61.753999999999998</c:v>
                </c:pt>
                <c:pt idx="12">
                  <c:v>61.753999999999998</c:v>
                </c:pt>
                <c:pt idx="13">
                  <c:v>61.753999999999998</c:v>
                </c:pt>
                <c:pt idx="14">
                  <c:v>61.753999999999998</c:v>
                </c:pt>
                <c:pt idx="15">
                  <c:v>61.753999999999998</c:v>
                </c:pt>
                <c:pt idx="16">
                  <c:v>61.753999999999998</c:v>
                </c:pt>
                <c:pt idx="17">
                  <c:v>61.753999999999998</c:v>
                </c:pt>
                <c:pt idx="18">
                  <c:v>61.753999999999998</c:v>
                </c:pt>
                <c:pt idx="19">
                  <c:v>61.753999999999998</c:v>
                </c:pt>
                <c:pt idx="20">
                  <c:v>61.753999999999998</c:v>
                </c:pt>
                <c:pt idx="21">
                  <c:v>61.753999999999998</c:v>
                </c:pt>
                <c:pt idx="22">
                  <c:v>61.753999999999998</c:v>
                </c:pt>
                <c:pt idx="23">
                  <c:v>61.753999999999998</c:v>
                </c:pt>
              </c:numCache>
            </c:numRef>
          </c:val>
          <c:smooth val="0"/>
        </c:ser>
        <c:dLbls>
          <c:showLegendKey val="0"/>
          <c:showVal val="0"/>
          <c:showCatName val="0"/>
          <c:showSerName val="0"/>
          <c:showPercent val="0"/>
          <c:showBubbleSize val="0"/>
        </c:dLbls>
        <c:marker val="1"/>
        <c:smooth val="0"/>
        <c:axId val="662726912"/>
        <c:axId val="662727472"/>
      </c:lineChart>
      <c:lineChart>
        <c:grouping val="standard"/>
        <c:varyColors val="0"/>
        <c:ser>
          <c:idx val="2"/>
          <c:order val="3"/>
          <c:tx>
            <c:strRef>
              <c:f>Data!$K$2</c:f>
              <c:strCache>
                <c:ptCount val="1"/>
                <c:pt idx="0">
                  <c:v>Load Impact</c:v>
                </c:pt>
              </c:strCache>
            </c:strRef>
          </c:tx>
          <c:spPr>
            <a:ln w="31750" cap="rnd">
              <a:solidFill>
                <a:srgbClr val="92D050"/>
              </a:solidFill>
              <a:round/>
            </a:ln>
            <a:effectLst/>
          </c:spPr>
          <c:marker>
            <c:symbol val="diamond"/>
            <c:size val="6"/>
            <c:spPr>
              <a:solidFill>
                <a:srgbClr val="92D050"/>
              </a:solidFill>
              <a:ln w="12700">
                <a:solidFill>
                  <a:srgbClr val="92D050"/>
                </a:solidFill>
              </a:ln>
              <a:effectLst/>
            </c:spPr>
          </c:marker>
          <c:val>
            <c:numRef>
              <c:f>Data!$K$3:$K$26</c:f>
              <c:numCache>
                <c:formatCode>0</c:formatCode>
                <c:ptCount val="24"/>
                <c:pt idx="0">
                  <c:v>2.5047570000000001</c:v>
                </c:pt>
                <c:pt idx="1">
                  <c:v>-4.2235969999999998</c:v>
                </c:pt>
                <c:pt idx="2">
                  <c:v>-6.642576</c:v>
                </c:pt>
                <c:pt idx="3">
                  <c:v>-1.2372570000000001</c:v>
                </c:pt>
                <c:pt idx="4">
                  <c:v>-1.725082</c:v>
                </c:pt>
                <c:pt idx="5">
                  <c:v>-5.2024860000000004</c:v>
                </c:pt>
                <c:pt idx="6">
                  <c:v>2.163316</c:v>
                </c:pt>
                <c:pt idx="7">
                  <c:v>3.8782199999999998</c:v>
                </c:pt>
                <c:pt idx="8">
                  <c:v>0.71073319999999995</c:v>
                </c:pt>
                <c:pt idx="9">
                  <c:v>1.1060129999999999</c:v>
                </c:pt>
                <c:pt idx="10">
                  <c:v>2.262105</c:v>
                </c:pt>
                <c:pt idx="11">
                  <c:v>-5.0563859999999998</c:v>
                </c:pt>
                <c:pt idx="12">
                  <c:v>-2.9257759999999999</c:v>
                </c:pt>
                <c:pt idx="13">
                  <c:v>58.636279999999999</c:v>
                </c:pt>
                <c:pt idx="14">
                  <c:v>231.86019999999999</c:v>
                </c:pt>
                <c:pt idx="15">
                  <c:v>224.50309999999999</c:v>
                </c:pt>
                <c:pt idx="16">
                  <c:v>111.26949999999999</c:v>
                </c:pt>
                <c:pt idx="17">
                  <c:v>56.436990000000002</c:v>
                </c:pt>
                <c:pt idx="18">
                  <c:v>44.11598</c:v>
                </c:pt>
                <c:pt idx="19">
                  <c:v>38.643450000000001</c:v>
                </c:pt>
                <c:pt idx="20">
                  <c:v>35.158520000000003</c:v>
                </c:pt>
                <c:pt idx="21">
                  <c:v>38.728630000000003</c:v>
                </c:pt>
                <c:pt idx="22">
                  <c:v>33.777819999999998</c:v>
                </c:pt>
                <c:pt idx="23">
                  <c:v>24.338909999999998</c:v>
                </c:pt>
              </c:numCache>
            </c:numRef>
          </c:val>
          <c:smooth val="0"/>
        </c:ser>
        <c:dLbls>
          <c:showLegendKey val="0"/>
          <c:showVal val="0"/>
          <c:showCatName val="0"/>
          <c:showSerName val="0"/>
          <c:showPercent val="0"/>
          <c:showBubbleSize val="0"/>
        </c:dLbls>
        <c:marker val="1"/>
        <c:smooth val="0"/>
        <c:axId val="662728592"/>
        <c:axId val="662728032"/>
      </c:lineChart>
      <c:catAx>
        <c:axId val="66272691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662727472"/>
        <c:crosses val="autoZero"/>
        <c:auto val="1"/>
        <c:lblAlgn val="ctr"/>
        <c:lblOffset val="100"/>
        <c:noMultiLvlLbl val="0"/>
      </c:catAx>
      <c:valAx>
        <c:axId val="662727472"/>
        <c:scaling>
          <c:orientation val="minMax"/>
          <c:max val="35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662726912"/>
        <c:crosses val="autoZero"/>
        <c:crossBetween val="between"/>
        <c:majorUnit val="50"/>
      </c:valAx>
      <c:valAx>
        <c:axId val="662728032"/>
        <c:scaling>
          <c:orientation val="minMax"/>
          <c:max val="300"/>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Load Impact (MW)</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662728592"/>
        <c:crosses val="max"/>
        <c:crossBetween val="between"/>
        <c:majorUnit val="50"/>
      </c:valAx>
      <c:catAx>
        <c:axId val="662728592"/>
        <c:scaling>
          <c:orientation val="minMax"/>
        </c:scaling>
        <c:delete val="1"/>
        <c:axPos val="b"/>
        <c:majorTickMark val="out"/>
        <c:minorTickMark val="none"/>
        <c:tickLblPos val="nextTo"/>
        <c:crossAx val="662728032"/>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Data!$B$2</c:f>
              <c:strCache>
                <c:ptCount val="1"/>
                <c:pt idx="0">
                  <c:v>2/6/2014</c:v>
                </c:pt>
              </c:strCache>
            </c:strRef>
          </c:tx>
          <c:spPr>
            <a:ln w="28575" cap="rnd">
              <a:solidFill>
                <a:schemeClr val="accent1"/>
              </a:solidFill>
              <a:round/>
            </a:ln>
            <a:effectLst/>
          </c:spPr>
          <c:marker>
            <c:symbol val="none"/>
          </c:marker>
          <c:val>
            <c:numRef>
              <c:f>Data!$B$3:$B$26</c:f>
              <c:numCache>
                <c:formatCode>0.0</c:formatCode>
                <c:ptCount val="24"/>
                <c:pt idx="0">
                  <c:v>-0.49061900000000003</c:v>
                </c:pt>
                <c:pt idx="1">
                  <c:v>2.214639</c:v>
                </c:pt>
                <c:pt idx="2">
                  <c:v>7.9110120000000004</c:v>
                </c:pt>
                <c:pt idx="3">
                  <c:v>5.907089</c:v>
                </c:pt>
                <c:pt idx="4">
                  <c:v>-0.13796710000000001</c:v>
                </c:pt>
                <c:pt idx="5">
                  <c:v>-2.5939139999999998</c:v>
                </c:pt>
                <c:pt idx="6">
                  <c:v>2.5749200000000001</c:v>
                </c:pt>
                <c:pt idx="7">
                  <c:v>2.3162759999999998</c:v>
                </c:pt>
                <c:pt idx="8">
                  <c:v>-3.198115</c:v>
                </c:pt>
                <c:pt idx="9">
                  <c:v>2.1075879999999998</c:v>
                </c:pt>
                <c:pt idx="10">
                  <c:v>5.4159420000000003</c:v>
                </c:pt>
                <c:pt idx="11">
                  <c:v>5.8485500000000004</c:v>
                </c:pt>
                <c:pt idx="12">
                  <c:v>2.7884929999999999</c:v>
                </c:pt>
                <c:pt idx="13">
                  <c:v>5.603262</c:v>
                </c:pt>
                <c:pt idx="14">
                  <c:v>3.6174240000000002</c:v>
                </c:pt>
                <c:pt idx="15">
                  <c:v>151.8434</c:v>
                </c:pt>
                <c:pt idx="16">
                  <c:v>201.9573</c:v>
                </c:pt>
                <c:pt idx="17">
                  <c:v>199.18610000000001</c:v>
                </c:pt>
                <c:pt idx="18">
                  <c:v>199.1052</c:v>
                </c:pt>
                <c:pt idx="19">
                  <c:v>138.77420000000001</c:v>
                </c:pt>
                <c:pt idx="20">
                  <c:v>58.195819999999998</c:v>
                </c:pt>
                <c:pt idx="21">
                  <c:v>44.721449999999997</c:v>
                </c:pt>
                <c:pt idx="22">
                  <c:v>38.398890000000002</c:v>
                </c:pt>
                <c:pt idx="23">
                  <c:v>31.78725</c:v>
                </c:pt>
              </c:numCache>
            </c:numRef>
          </c:val>
          <c:smooth val="0"/>
        </c:ser>
        <c:ser>
          <c:idx val="1"/>
          <c:order val="1"/>
          <c:tx>
            <c:strRef>
              <c:f>Data!$C$2</c:f>
              <c:strCache>
                <c:ptCount val="1"/>
              </c:strCache>
            </c:strRef>
          </c:tx>
          <c:spPr>
            <a:ln w="28575" cap="rnd">
              <a:solidFill>
                <a:schemeClr val="accent2"/>
              </a:solidFill>
              <a:round/>
            </a:ln>
            <a:effectLst/>
          </c:spPr>
          <c:marker>
            <c:symbol val="none"/>
          </c:marker>
          <c:val>
            <c:numRef>
              <c:f>Data!$C$3:$C$26</c:f>
              <c:numCache>
                <c:formatCode>General</c:formatCode>
                <c:ptCount val="24"/>
              </c:numCache>
            </c:numRef>
          </c:val>
          <c:smooth val="0"/>
        </c:ser>
        <c:ser>
          <c:idx val="2"/>
          <c:order val="2"/>
          <c:tx>
            <c:strRef>
              <c:f>Data!$D$2</c:f>
              <c:strCache>
                <c:ptCount val="1"/>
              </c:strCache>
            </c:strRef>
          </c:tx>
          <c:spPr>
            <a:ln w="28575" cap="rnd">
              <a:solidFill>
                <a:schemeClr val="accent3"/>
              </a:solidFill>
              <a:round/>
            </a:ln>
            <a:effectLst/>
          </c:spPr>
          <c:marker>
            <c:symbol val="none"/>
          </c:marker>
          <c:val>
            <c:numRef>
              <c:f>Data!$D$3:$D$26</c:f>
              <c:numCache>
                <c:formatCode>General</c:formatCode>
                <c:ptCount val="24"/>
              </c:numCache>
            </c:numRef>
          </c:val>
          <c:smooth val="0"/>
        </c:ser>
        <c:ser>
          <c:idx val="3"/>
          <c:order val="3"/>
          <c:tx>
            <c:strRef>
              <c:f>Data!$E$2</c:f>
              <c:strCache>
                <c:ptCount val="1"/>
                <c:pt idx="0">
                  <c:v>9/11/2014</c:v>
                </c:pt>
              </c:strCache>
            </c:strRef>
          </c:tx>
          <c:spPr>
            <a:ln w="28575" cap="rnd">
              <a:solidFill>
                <a:schemeClr val="accent4"/>
              </a:solidFill>
              <a:round/>
            </a:ln>
            <a:effectLst/>
          </c:spPr>
          <c:marker>
            <c:symbol val="none"/>
          </c:marker>
          <c:val>
            <c:numRef>
              <c:f>Data!$E$3:$E$26</c:f>
              <c:numCache>
                <c:formatCode>0.0</c:formatCode>
                <c:ptCount val="24"/>
                <c:pt idx="0">
                  <c:v>2.5047570000000001</c:v>
                </c:pt>
                <c:pt idx="1">
                  <c:v>-4.2235969999999998</c:v>
                </c:pt>
                <c:pt idx="2">
                  <c:v>-6.642576</c:v>
                </c:pt>
                <c:pt idx="3">
                  <c:v>-1.2372570000000001</c:v>
                </c:pt>
                <c:pt idx="4">
                  <c:v>-1.725082</c:v>
                </c:pt>
                <c:pt idx="5">
                  <c:v>-5.2024860000000004</c:v>
                </c:pt>
                <c:pt idx="6">
                  <c:v>2.163316</c:v>
                </c:pt>
                <c:pt idx="7">
                  <c:v>3.8782199999999998</c:v>
                </c:pt>
                <c:pt idx="8">
                  <c:v>0.71073319999999995</c:v>
                </c:pt>
                <c:pt idx="9">
                  <c:v>1.1060129999999999</c:v>
                </c:pt>
                <c:pt idx="10">
                  <c:v>2.262105</c:v>
                </c:pt>
                <c:pt idx="11">
                  <c:v>-5.0563859999999998</c:v>
                </c:pt>
                <c:pt idx="12">
                  <c:v>-2.9257759999999999</c:v>
                </c:pt>
                <c:pt idx="13">
                  <c:v>58.636279999999999</c:v>
                </c:pt>
                <c:pt idx="14">
                  <c:v>231.86019999999999</c:v>
                </c:pt>
                <c:pt idx="15">
                  <c:v>224.50309999999999</c:v>
                </c:pt>
                <c:pt idx="16">
                  <c:v>111.26949999999999</c:v>
                </c:pt>
                <c:pt idx="17">
                  <c:v>56.436990000000002</c:v>
                </c:pt>
                <c:pt idx="18">
                  <c:v>44.11598</c:v>
                </c:pt>
                <c:pt idx="19">
                  <c:v>38.643450000000001</c:v>
                </c:pt>
                <c:pt idx="20">
                  <c:v>35.158520000000003</c:v>
                </c:pt>
                <c:pt idx="21">
                  <c:v>38.728630000000003</c:v>
                </c:pt>
                <c:pt idx="22">
                  <c:v>33.777819999999998</c:v>
                </c:pt>
                <c:pt idx="23">
                  <c:v>24.338909999999998</c:v>
                </c:pt>
              </c:numCache>
            </c:numRef>
          </c:val>
          <c:smooth val="0"/>
        </c:ser>
        <c:dLbls>
          <c:showLegendKey val="0"/>
          <c:showVal val="0"/>
          <c:showCatName val="0"/>
          <c:showSerName val="0"/>
          <c:showPercent val="0"/>
          <c:showBubbleSize val="0"/>
        </c:dLbls>
        <c:smooth val="0"/>
        <c:axId val="662732512"/>
        <c:axId val="662733072"/>
      </c:lineChart>
      <c:catAx>
        <c:axId val="66273251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Hour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662733072"/>
        <c:crosses val="autoZero"/>
        <c:auto val="1"/>
        <c:lblAlgn val="ctr"/>
        <c:lblOffset val="100"/>
        <c:noMultiLvlLbl val="0"/>
      </c:catAx>
      <c:valAx>
        <c:axId val="6627330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Load Impact (MW)</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662732512"/>
        <c:crosses val="autoZero"/>
        <c:crossBetween val="between"/>
      </c:valAx>
      <c:spPr>
        <a:no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3"/>
          <c:order val="4"/>
          <c:tx>
            <c:strRef>
              <c:f>Data!$Y$2</c:f>
              <c:strCache>
                <c:ptCount val="1"/>
                <c:pt idx="0">
                  <c:v>Event Hours</c:v>
                </c:pt>
              </c:strCache>
            </c:strRef>
          </c:tx>
          <c:spPr>
            <a:solidFill>
              <a:schemeClr val="accent1">
                <a:lumMod val="20000"/>
                <a:lumOff val="80000"/>
              </a:schemeClr>
            </a:solidFill>
            <a:ln>
              <a:noFill/>
            </a:ln>
            <a:effectLst/>
          </c:spPr>
          <c:val>
            <c:numRef>
              <c:f>Data!$Y$3:$Y$26</c:f>
              <c:numCache>
                <c:formatCode>General</c:formatCode>
                <c:ptCount val="24"/>
                <c:pt idx="15" formatCode="#,##0">
                  <c:v>900</c:v>
                </c:pt>
                <c:pt idx="16" formatCode="#,##0">
                  <c:v>900</c:v>
                </c:pt>
                <c:pt idx="17" formatCode="#,##0">
                  <c:v>900</c:v>
                </c:pt>
                <c:pt idx="18" formatCode="#,##0">
                  <c:v>900</c:v>
                </c:pt>
              </c:numCache>
            </c:numRef>
          </c:val>
        </c:ser>
        <c:dLbls>
          <c:showLegendKey val="0"/>
          <c:showVal val="0"/>
          <c:showCatName val="0"/>
          <c:showSerName val="0"/>
          <c:showPercent val="0"/>
          <c:showBubbleSize val="0"/>
        </c:dLbls>
        <c:axId val="662737552"/>
        <c:axId val="662738112"/>
      </c:areaChart>
      <c:lineChart>
        <c:grouping val="standard"/>
        <c:varyColors val="0"/>
        <c:ser>
          <c:idx val="0"/>
          <c:order val="0"/>
          <c:tx>
            <c:strRef>
              <c:f>Data!$U$2</c:f>
              <c:strCache>
                <c:ptCount val="1"/>
                <c:pt idx="0">
                  <c:v>Reference</c:v>
                </c:pt>
              </c:strCache>
            </c:strRef>
          </c:tx>
          <c:spPr>
            <a:ln w="34925" cap="rnd">
              <a:solidFill>
                <a:schemeClr val="accent1"/>
              </a:solidFill>
              <a:round/>
            </a:ln>
            <a:effectLst/>
          </c:spPr>
          <c:marker>
            <c:symbol val="none"/>
          </c:marker>
          <c:val>
            <c:numRef>
              <c:f>Data!$U$3:$U$26</c:f>
              <c:numCache>
                <c:formatCode>#,##0</c:formatCode>
                <c:ptCount val="24"/>
                <c:pt idx="0">
                  <c:v>707.21810000000005</c:v>
                </c:pt>
                <c:pt idx="1">
                  <c:v>696.15620000000001</c:v>
                </c:pt>
                <c:pt idx="2">
                  <c:v>685.89829999999995</c:v>
                </c:pt>
                <c:pt idx="3">
                  <c:v>686.13940000000002</c:v>
                </c:pt>
                <c:pt idx="4">
                  <c:v>712.87350000000004</c:v>
                </c:pt>
                <c:pt idx="5">
                  <c:v>741.37900000000002</c:v>
                </c:pt>
                <c:pt idx="6">
                  <c:v>758.74599999999998</c:v>
                </c:pt>
                <c:pt idx="7">
                  <c:v>765.93849999999998</c:v>
                </c:pt>
                <c:pt idx="8">
                  <c:v>776.43290000000002</c:v>
                </c:pt>
                <c:pt idx="9">
                  <c:v>773.53309999999999</c:v>
                </c:pt>
                <c:pt idx="10">
                  <c:v>777.26229999999998</c:v>
                </c:pt>
                <c:pt idx="11">
                  <c:v>775.34839999999997</c:v>
                </c:pt>
                <c:pt idx="12">
                  <c:v>770.03610000000003</c:v>
                </c:pt>
                <c:pt idx="13">
                  <c:v>759.09280000000001</c:v>
                </c:pt>
                <c:pt idx="14">
                  <c:v>754.73140000000001</c:v>
                </c:pt>
                <c:pt idx="15">
                  <c:v>742.19069999999999</c:v>
                </c:pt>
                <c:pt idx="16">
                  <c:v>744.90859999999998</c:v>
                </c:pt>
                <c:pt idx="17">
                  <c:v>763.13149999999996</c:v>
                </c:pt>
                <c:pt idx="18">
                  <c:v>770.02049999999997</c:v>
                </c:pt>
                <c:pt idx="19">
                  <c:v>767.12040000000002</c:v>
                </c:pt>
                <c:pt idx="20">
                  <c:v>766.56679999999994</c:v>
                </c:pt>
                <c:pt idx="21">
                  <c:v>756.12739999999997</c:v>
                </c:pt>
                <c:pt idx="22">
                  <c:v>754.76559999999995</c:v>
                </c:pt>
                <c:pt idx="23">
                  <c:v>752.45619999999997</c:v>
                </c:pt>
              </c:numCache>
            </c:numRef>
          </c:val>
          <c:smooth val="0"/>
        </c:ser>
        <c:ser>
          <c:idx val="1"/>
          <c:order val="1"/>
          <c:tx>
            <c:strRef>
              <c:f>Data!$V$2</c:f>
              <c:strCache>
                <c:ptCount val="1"/>
                <c:pt idx="0">
                  <c:v>Observed</c:v>
                </c:pt>
              </c:strCache>
            </c:strRef>
          </c:tx>
          <c:spPr>
            <a:ln w="34925" cap="rnd">
              <a:solidFill>
                <a:schemeClr val="accent2"/>
              </a:solidFill>
              <a:prstDash val="dash"/>
              <a:round/>
            </a:ln>
            <a:effectLst/>
          </c:spPr>
          <c:marker>
            <c:symbol val="none"/>
          </c:marker>
          <c:val>
            <c:numRef>
              <c:f>Data!$V$3:$V$26</c:f>
              <c:numCache>
                <c:formatCode>#,##0</c:formatCode>
                <c:ptCount val="24"/>
                <c:pt idx="0">
                  <c:v>674.97474</c:v>
                </c:pt>
                <c:pt idx="1">
                  <c:v>679.54732999999999</c:v>
                </c:pt>
                <c:pt idx="2">
                  <c:v>675.6115299999999</c:v>
                </c:pt>
                <c:pt idx="3">
                  <c:v>673.17171000000008</c:v>
                </c:pt>
                <c:pt idx="4">
                  <c:v>702.35145</c:v>
                </c:pt>
                <c:pt idx="5">
                  <c:v>726.06396000000007</c:v>
                </c:pt>
                <c:pt idx="6">
                  <c:v>751.52302799999995</c:v>
                </c:pt>
                <c:pt idx="7">
                  <c:v>769.53083600000002</c:v>
                </c:pt>
                <c:pt idx="8">
                  <c:v>787.29537000000005</c:v>
                </c:pt>
                <c:pt idx="9">
                  <c:v>780.21614699999998</c:v>
                </c:pt>
                <c:pt idx="10">
                  <c:v>773.24431600000003</c:v>
                </c:pt>
                <c:pt idx="11">
                  <c:v>777.26123499999994</c:v>
                </c:pt>
                <c:pt idx="12">
                  <c:v>765.52661599999999</c:v>
                </c:pt>
                <c:pt idx="13">
                  <c:v>759.75749250000001</c:v>
                </c:pt>
                <c:pt idx="14">
                  <c:v>525.46</c:v>
                </c:pt>
                <c:pt idx="15">
                  <c:v>142.18139999999994</c:v>
                </c:pt>
                <c:pt idx="16">
                  <c:v>134.29700000000003</c:v>
                </c:pt>
                <c:pt idx="17">
                  <c:v>123.93499999999995</c:v>
                </c:pt>
                <c:pt idx="18">
                  <c:v>124.42129999999997</c:v>
                </c:pt>
                <c:pt idx="19">
                  <c:v>194.2251</c:v>
                </c:pt>
                <c:pt idx="20">
                  <c:v>369.83829999999995</c:v>
                </c:pt>
                <c:pt idx="21">
                  <c:v>468.66909999999996</c:v>
                </c:pt>
                <c:pt idx="22">
                  <c:v>506.11759999999992</c:v>
                </c:pt>
                <c:pt idx="23">
                  <c:v>530.23270000000002</c:v>
                </c:pt>
              </c:numCache>
            </c:numRef>
          </c:val>
          <c:smooth val="0"/>
        </c:ser>
        <c:ser>
          <c:idx val="4"/>
          <c:order val="2"/>
          <c:tx>
            <c:strRef>
              <c:f>Data!$X$2</c:f>
              <c:strCache>
                <c:ptCount val="1"/>
                <c:pt idx="0">
                  <c:v>FSL</c:v>
                </c:pt>
              </c:strCache>
            </c:strRef>
          </c:tx>
          <c:spPr>
            <a:ln w="38100" cap="rnd">
              <a:solidFill>
                <a:schemeClr val="accent4">
                  <a:lumMod val="75000"/>
                </a:schemeClr>
              </a:solidFill>
              <a:round/>
            </a:ln>
            <a:effectLst/>
          </c:spPr>
          <c:marker>
            <c:symbol val="none"/>
          </c:marker>
          <c:val>
            <c:numRef>
              <c:f>Data!$X$3:$X$26</c:f>
              <c:numCache>
                <c:formatCode>#,##0</c:formatCode>
                <c:ptCount val="24"/>
                <c:pt idx="0">
                  <c:v>82.658000000000001</c:v>
                </c:pt>
                <c:pt idx="1">
                  <c:v>82.658000000000001</c:v>
                </c:pt>
                <c:pt idx="2">
                  <c:v>82.658000000000001</c:v>
                </c:pt>
                <c:pt idx="3">
                  <c:v>82.658000000000001</c:v>
                </c:pt>
                <c:pt idx="4">
                  <c:v>82.658000000000001</c:v>
                </c:pt>
                <c:pt idx="5">
                  <c:v>82.658000000000001</c:v>
                </c:pt>
                <c:pt idx="6">
                  <c:v>82.658000000000001</c:v>
                </c:pt>
                <c:pt idx="7">
                  <c:v>82.658000000000001</c:v>
                </c:pt>
                <c:pt idx="8">
                  <c:v>82.658000000000001</c:v>
                </c:pt>
                <c:pt idx="9">
                  <c:v>82.658000000000001</c:v>
                </c:pt>
                <c:pt idx="10">
                  <c:v>82.658000000000001</c:v>
                </c:pt>
                <c:pt idx="11">
                  <c:v>82.658000000000001</c:v>
                </c:pt>
                <c:pt idx="12">
                  <c:v>82.658000000000001</c:v>
                </c:pt>
                <c:pt idx="13">
                  <c:v>82.658000000000001</c:v>
                </c:pt>
                <c:pt idx="14">
                  <c:v>82.658000000000001</c:v>
                </c:pt>
                <c:pt idx="15">
                  <c:v>82.658000000000001</c:v>
                </c:pt>
                <c:pt idx="16">
                  <c:v>82.658000000000001</c:v>
                </c:pt>
                <c:pt idx="17">
                  <c:v>82.658000000000001</c:v>
                </c:pt>
                <c:pt idx="18">
                  <c:v>82.658000000000001</c:v>
                </c:pt>
                <c:pt idx="19">
                  <c:v>82.658000000000001</c:v>
                </c:pt>
                <c:pt idx="20">
                  <c:v>82.658000000000001</c:v>
                </c:pt>
                <c:pt idx="21">
                  <c:v>82.658000000000001</c:v>
                </c:pt>
                <c:pt idx="22">
                  <c:v>82.658000000000001</c:v>
                </c:pt>
                <c:pt idx="23">
                  <c:v>82.658000000000001</c:v>
                </c:pt>
              </c:numCache>
            </c:numRef>
          </c:val>
          <c:smooth val="0"/>
        </c:ser>
        <c:dLbls>
          <c:showLegendKey val="0"/>
          <c:showVal val="0"/>
          <c:showCatName val="0"/>
          <c:showSerName val="0"/>
          <c:showPercent val="0"/>
          <c:showBubbleSize val="0"/>
        </c:dLbls>
        <c:marker val="1"/>
        <c:smooth val="0"/>
        <c:axId val="662737552"/>
        <c:axId val="662738112"/>
      </c:lineChart>
      <c:lineChart>
        <c:grouping val="standard"/>
        <c:varyColors val="0"/>
        <c:ser>
          <c:idx val="2"/>
          <c:order val="3"/>
          <c:tx>
            <c:strRef>
              <c:f>Data!$W$2</c:f>
              <c:strCache>
                <c:ptCount val="1"/>
                <c:pt idx="0">
                  <c:v>Load Impact</c:v>
                </c:pt>
              </c:strCache>
            </c:strRef>
          </c:tx>
          <c:spPr>
            <a:ln w="34925" cap="rnd">
              <a:solidFill>
                <a:srgbClr val="92D050"/>
              </a:solidFill>
              <a:round/>
            </a:ln>
            <a:effectLst/>
          </c:spPr>
          <c:marker>
            <c:symbol val="diamond"/>
            <c:size val="6"/>
            <c:spPr>
              <a:solidFill>
                <a:srgbClr val="92D050"/>
              </a:solidFill>
              <a:ln w="12700">
                <a:solidFill>
                  <a:srgbClr val="92D050"/>
                </a:solidFill>
              </a:ln>
              <a:effectLst/>
            </c:spPr>
          </c:marker>
          <c:val>
            <c:numRef>
              <c:f>Data!$W$3:$W$26</c:f>
              <c:numCache>
                <c:formatCode>#,##0</c:formatCode>
                <c:ptCount val="24"/>
                <c:pt idx="0">
                  <c:v>32.243360000000003</c:v>
                </c:pt>
                <c:pt idx="1">
                  <c:v>16.60887</c:v>
                </c:pt>
                <c:pt idx="2">
                  <c:v>10.286770000000001</c:v>
                </c:pt>
                <c:pt idx="3">
                  <c:v>12.967689999999999</c:v>
                </c:pt>
                <c:pt idx="4">
                  <c:v>10.52205</c:v>
                </c:pt>
                <c:pt idx="5">
                  <c:v>15.31504</c:v>
                </c:pt>
                <c:pt idx="6">
                  <c:v>7.2229720000000004</c:v>
                </c:pt>
                <c:pt idx="7">
                  <c:v>-3.592336</c:v>
                </c:pt>
                <c:pt idx="8">
                  <c:v>-10.86247</c:v>
                </c:pt>
                <c:pt idx="9">
                  <c:v>-6.6830470000000002</c:v>
                </c:pt>
                <c:pt idx="10">
                  <c:v>4.0179840000000002</c:v>
                </c:pt>
                <c:pt idx="11">
                  <c:v>-1.9128350000000001</c:v>
                </c:pt>
                <c:pt idx="12">
                  <c:v>4.5094839999999996</c:v>
                </c:pt>
                <c:pt idx="13">
                  <c:v>-0.66469250000000002</c:v>
                </c:pt>
                <c:pt idx="14">
                  <c:v>229.2714</c:v>
                </c:pt>
                <c:pt idx="15">
                  <c:v>600.00930000000005</c:v>
                </c:pt>
                <c:pt idx="16">
                  <c:v>610.61159999999995</c:v>
                </c:pt>
                <c:pt idx="17">
                  <c:v>639.19650000000001</c:v>
                </c:pt>
                <c:pt idx="18">
                  <c:v>645.5992</c:v>
                </c:pt>
                <c:pt idx="19">
                  <c:v>572.89530000000002</c:v>
                </c:pt>
                <c:pt idx="20">
                  <c:v>396.7285</c:v>
                </c:pt>
                <c:pt idx="21">
                  <c:v>287.45830000000001</c:v>
                </c:pt>
                <c:pt idx="22">
                  <c:v>248.648</c:v>
                </c:pt>
                <c:pt idx="23">
                  <c:v>222.2235</c:v>
                </c:pt>
              </c:numCache>
            </c:numRef>
          </c:val>
          <c:smooth val="0"/>
        </c:ser>
        <c:dLbls>
          <c:showLegendKey val="0"/>
          <c:showVal val="0"/>
          <c:showCatName val="0"/>
          <c:showSerName val="0"/>
          <c:showPercent val="0"/>
          <c:showBubbleSize val="0"/>
        </c:dLbls>
        <c:marker val="1"/>
        <c:smooth val="0"/>
        <c:axId val="662739232"/>
        <c:axId val="662738672"/>
      </c:lineChart>
      <c:catAx>
        <c:axId val="66273755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662738112"/>
        <c:crosses val="autoZero"/>
        <c:auto val="1"/>
        <c:lblAlgn val="ctr"/>
        <c:lblOffset val="100"/>
        <c:noMultiLvlLbl val="0"/>
      </c:catAx>
      <c:valAx>
        <c:axId val="662738112"/>
        <c:scaling>
          <c:orientation val="minMax"/>
          <c:max val="9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662737552"/>
        <c:crosses val="autoZero"/>
        <c:crossBetween val="between"/>
      </c:valAx>
      <c:valAx>
        <c:axId val="662738672"/>
        <c:scaling>
          <c:orientation val="minMax"/>
          <c:max val="800"/>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Load Impact (MW)</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662739232"/>
        <c:crosses val="max"/>
        <c:crossBetween val="between"/>
      </c:valAx>
      <c:catAx>
        <c:axId val="662739232"/>
        <c:scaling>
          <c:orientation val="minMax"/>
        </c:scaling>
        <c:delete val="1"/>
        <c:axPos val="b"/>
        <c:majorTickMark val="out"/>
        <c:minorTickMark val="none"/>
        <c:tickLblPos val="nextTo"/>
        <c:crossAx val="662738672"/>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442002041411491"/>
          <c:y val="2.22045158294992E-2"/>
          <c:w val="0.84945647419072612"/>
          <c:h val="0.80463605581339315"/>
        </c:manualLayout>
      </c:layout>
      <c:scatterChart>
        <c:scatterStyle val="lineMarker"/>
        <c:varyColors val="0"/>
        <c:ser>
          <c:idx val="0"/>
          <c:order val="0"/>
          <c:spPr>
            <a:ln w="38100" cap="rnd">
              <a:solidFill>
                <a:schemeClr val="accent1"/>
              </a:solidFill>
              <a:round/>
            </a:ln>
            <a:effectLst/>
          </c:spPr>
          <c:marker>
            <c:symbol val="none"/>
          </c:marker>
          <c:xVal>
            <c:numRef>
              <c:f>'2015-2017 BIP Forecast'!$A$5:$A$40</c:f>
              <c:numCache>
                <c:formatCode>m/d/yyyy</c:formatCode>
                <c:ptCount val="36"/>
                <c:pt idx="0">
                  <c:v>42035</c:v>
                </c:pt>
                <c:pt idx="1">
                  <c:v>42063</c:v>
                </c:pt>
                <c:pt idx="2">
                  <c:v>42094</c:v>
                </c:pt>
                <c:pt idx="3">
                  <c:v>42124</c:v>
                </c:pt>
                <c:pt idx="4">
                  <c:v>42155</c:v>
                </c:pt>
                <c:pt idx="5">
                  <c:v>42185</c:v>
                </c:pt>
                <c:pt idx="6">
                  <c:v>42216</c:v>
                </c:pt>
                <c:pt idx="7">
                  <c:v>42247</c:v>
                </c:pt>
                <c:pt idx="8">
                  <c:v>42277</c:v>
                </c:pt>
                <c:pt idx="9">
                  <c:v>42308</c:v>
                </c:pt>
                <c:pt idx="10">
                  <c:v>42338</c:v>
                </c:pt>
                <c:pt idx="11">
                  <c:v>42369</c:v>
                </c:pt>
                <c:pt idx="12">
                  <c:v>42400</c:v>
                </c:pt>
                <c:pt idx="13">
                  <c:v>42429</c:v>
                </c:pt>
                <c:pt idx="14">
                  <c:v>42460</c:v>
                </c:pt>
                <c:pt idx="15">
                  <c:v>42490</c:v>
                </c:pt>
                <c:pt idx="16">
                  <c:v>42521</c:v>
                </c:pt>
                <c:pt idx="17">
                  <c:v>42551</c:v>
                </c:pt>
                <c:pt idx="18">
                  <c:v>42582</c:v>
                </c:pt>
                <c:pt idx="19">
                  <c:v>42613</c:v>
                </c:pt>
                <c:pt idx="20">
                  <c:v>42643</c:v>
                </c:pt>
                <c:pt idx="21">
                  <c:v>42674</c:v>
                </c:pt>
                <c:pt idx="22">
                  <c:v>42704</c:v>
                </c:pt>
                <c:pt idx="23">
                  <c:v>42735</c:v>
                </c:pt>
                <c:pt idx="24">
                  <c:v>42766</c:v>
                </c:pt>
                <c:pt idx="25">
                  <c:v>42794</c:v>
                </c:pt>
                <c:pt idx="26">
                  <c:v>42825</c:v>
                </c:pt>
                <c:pt idx="27">
                  <c:v>42855</c:v>
                </c:pt>
                <c:pt idx="28">
                  <c:v>42886</c:v>
                </c:pt>
                <c:pt idx="29">
                  <c:v>42916</c:v>
                </c:pt>
                <c:pt idx="30">
                  <c:v>42947</c:v>
                </c:pt>
                <c:pt idx="31">
                  <c:v>42978</c:v>
                </c:pt>
                <c:pt idx="32">
                  <c:v>43008</c:v>
                </c:pt>
                <c:pt idx="33">
                  <c:v>43039</c:v>
                </c:pt>
                <c:pt idx="34">
                  <c:v>43069</c:v>
                </c:pt>
                <c:pt idx="35">
                  <c:v>43100</c:v>
                </c:pt>
              </c:numCache>
            </c:numRef>
          </c:xVal>
          <c:yVal>
            <c:numRef>
              <c:f>'2015-2017 BIP Forecast'!$B$5:$B$40</c:f>
              <c:numCache>
                <c:formatCode>_(* #,##0_);_(* \(#,##0\);_(* "-"??_);_(@_)</c:formatCode>
                <c:ptCount val="36"/>
                <c:pt idx="0">
                  <c:v>580</c:v>
                </c:pt>
                <c:pt idx="1">
                  <c:v>580</c:v>
                </c:pt>
                <c:pt idx="2">
                  <c:v>580</c:v>
                </c:pt>
                <c:pt idx="3">
                  <c:v>580</c:v>
                </c:pt>
                <c:pt idx="4">
                  <c:v>580</c:v>
                </c:pt>
                <c:pt idx="5">
                  <c:v>580</c:v>
                </c:pt>
                <c:pt idx="6">
                  <c:v>580</c:v>
                </c:pt>
                <c:pt idx="7">
                  <c:v>580</c:v>
                </c:pt>
                <c:pt idx="8">
                  <c:v>580</c:v>
                </c:pt>
                <c:pt idx="9">
                  <c:v>580</c:v>
                </c:pt>
                <c:pt idx="10">
                  <c:v>572</c:v>
                </c:pt>
                <c:pt idx="11">
                  <c:v>565</c:v>
                </c:pt>
                <c:pt idx="12">
                  <c:v>565</c:v>
                </c:pt>
                <c:pt idx="13">
                  <c:v>565</c:v>
                </c:pt>
                <c:pt idx="14">
                  <c:v>565</c:v>
                </c:pt>
                <c:pt idx="15">
                  <c:v>565</c:v>
                </c:pt>
                <c:pt idx="16">
                  <c:v>565</c:v>
                </c:pt>
                <c:pt idx="17">
                  <c:v>565</c:v>
                </c:pt>
                <c:pt idx="18">
                  <c:v>565</c:v>
                </c:pt>
                <c:pt idx="19">
                  <c:v>565</c:v>
                </c:pt>
                <c:pt idx="20">
                  <c:v>565</c:v>
                </c:pt>
                <c:pt idx="21">
                  <c:v>565</c:v>
                </c:pt>
                <c:pt idx="22">
                  <c:v>557</c:v>
                </c:pt>
                <c:pt idx="23">
                  <c:v>550</c:v>
                </c:pt>
                <c:pt idx="24">
                  <c:v>550</c:v>
                </c:pt>
                <c:pt idx="25">
                  <c:v>550</c:v>
                </c:pt>
                <c:pt idx="26">
                  <c:v>550</c:v>
                </c:pt>
                <c:pt idx="27">
                  <c:v>550</c:v>
                </c:pt>
                <c:pt idx="28">
                  <c:v>550</c:v>
                </c:pt>
                <c:pt idx="29">
                  <c:v>550</c:v>
                </c:pt>
                <c:pt idx="30">
                  <c:v>550</c:v>
                </c:pt>
                <c:pt idx="31">
                  <c:v>550</c:v>
                </c:pt>
                <c:pt idx="32">
                  <c:v>550</c:v>
                </c:pt>
                <c:pt idx="33">
                  <c:v>550</c:v>
                </c:pt>
                <c:pt idx="34">
                  <c:v>542</c:v>
                </c:pt>
                <c:pt idx="35">
                  <c:v>535</c:v>
                </c:pt>
              </c:numCache>
            </c:numRef>
          </c:yVal>
          <c:smooth val="0"/>
        </c:ser>
        <c:dLbls>
          <c:showLegendKey val="0"/>
          <c:showVal val="0"/>
          <c:showCatName val="0"/>
          <c:showSerName val="0"/>
          <c:showPercent val="0"/>
          <c:showBubbleSize val="0"/>
        </c:dLbls>
        <c:axId val="529039984"/>
        <c:axId val="529040544"/>
      </c:scatterChart>
      <c:valAx>
        <c:axId val="529039984"/>
        <c:scaling>
          <c:orientation val="minMax"/>
          <c:max val="43120"/>
          <c:min val="42015"/>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Forecast Month</a:t>
                </a:r>
              </a:p>
            </c:rich>
          </c:tx>
          <c:layout>
            <c:manualLayout>
              <c:xMode val="edge"/>
              <c:yMode val="edge"/>
              <c:x val="0.47966196882695272"/>
              <c:y val="0.96366533773354679"/>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409]mmm\-yy;@"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9040544"/>
        <c:crosses val="autoZero"/>
        <c:crossBetween val="midCat"/>
        <c:majorUnit val="60"/>
      </c:valAx>
      <c:valAx>
        <c:axId val="529040544"/>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Number of Enrolled Service Accounts</a:t>
                </a:r>
              </a:p>
            </c:rich>
          </c:tx>
          <c:layout>
            <c:manualLayout>
              <c:xMode val="edge"/>
              <c:yMode val="edge"/>
              <c:x val="1.6123432783867058E-2"/>
              <c:y val="0.26123255248777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_);_(* \(#,##0\);_(* &quot;-&quot;??_);_(@_)"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903998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ndard"/>
        <c:varyColors val="0"/>
        <c:ser>
          <c:idx val="3"/>
          <c:order val="4"/>
          <c:tx>
            <c:strRef>
              <c:f>Sheet1!$F$2</c:f>
              <c:strCache>
                <c:ptCount val="1"/>
                <c:pt idx="0">
                  <c:v>Event Hours</c:v>
                </c:pt>
              </c:strCache>
            </c:strRef>
          </c:tx>
          <c:spPr>
            <a:solidFill>
              <a:schemeClr val="accent1">
                <a:lumMod val="20000"/>
                <a:lumOff val="80000"/>
              </a:schemeClr>
            </a:solidFill>
            <a:ln>
              <a:noFill/>
            </a:ln>
            <a:effectLst/>
          </c:spPr>
          <c:val>
            <c:numRef>
              <c:f>Sheet1!$F$3:$F$26</c:f>
              <c:numCache>
                <c:formatCode>General</c:formatCode>
                <c:ptCount val="24"/>
                <c:pt idx="13" formatCode="#,##0">
                  <c:v>400</c:v>
                </c:pt>
                <c:pt idx="14" formatCode="#,##0">
                  <c:v>400</c:v>
                </c:pt>
                <c:pt idx="15" formatCode="#,##0">
                  <c:v>400</c:v>
                </c:pt>
                <c:pt idx="16" formatCode="#,##0">
                  <c:v>400</c:v>
                </c:pt>
                <c:pt idx="17" formatCode="#,##0">
                  <c:v>400</c:v>
                </c:pt>
              </c:numCache>
            </c:numRef>
          </c:val>
        </c:ser>
        <c:dLbls>
          <c:showLegendKey val="0"/>
          <c:showVal val="0"/>
          <c:showCatName val="0"/>
          <c:showSerName val="0"/>
          <c:showPercent val="0"/>
          <c:showBubbleSize val="0"/>
        </c:dLbls>
        <c:axId val="529044464"/>
        <c:axId val="529045024"/>
      </c:areaChart>
      <c:lineChart>
        <c:grouping val="standard"/>
        <c:varyColors val="0"/>
        <c:ser>
          <c:idx val="0"/>
          <c:order val="0"/>
          <c:tx>
            <c:strRef>
              <c:f>Sheet1!$B$2</c:f>
              <c:strCache>
                <c:ptCount val="1"/>
                <c:pt idx="0">
                  <c:v>Reference</c:v>
                </c:pt>
              </c:strCache>
            </c:strRef>
          </c:tx>
          <c:spPr>
            <a:ln w="38100" cap="rnd">
              <a:solidFill>
                <a:schemeClr val="accent1"/>
              </a:solidFill>
              <a:round/>
            </a:ln>
            <a:effectLst/>
          </c:spPr>
          <c:marker>
            <c:symbol val="none"/>
          </c:marker>
          <c:val>
            <c:numRef>
              <c:f>Sheet1!$B$3:$B$26</c:f>
              <c:numCache>
                <c:formatCode>#,##0</c:formatCode>
                <c:ptCount val="24"/>
                <c:pt idx="0">
                  <c:v>274.6284</c:v>
                </c:pt>
                <c:pt idx="1">
                  <c:v>268.4699</c:v>
                </c:pt>
                <c:pt idx="2">
                  <c:v>265.67020000000002</c:v>
                </c:pt>
                <c:pt idx="3">
                  <c:v>271.33089999999999</c:v>
                </c:pt>
                <c:pt idx="4">
                  <c:v>278.82940000000002</c:v>
                </c:pt>
                <c:pt idx="5">
                  <c:v>294.13709999999998</c:v>
                </c:pt>
                <c:pt idx="6">
                  <c:v>316.15620000000001</c:v>
                </c:pt>
                <c:pt idx="7">
                  <c:v>323.38780000000003</c:v>
                </c:pt>
                <c:pt idx="8">
                  <c:v>324.25990000000002</c:v>
                </c:pt>
                <c:pt idx="9">
                  <c:v>324.0976</c:v>
                </c:pt>
                <c:pt idx="10">
                  <c:v>321.65410000000003</c:v>
                </c:pt>
                <c:pt idx="11">
                  <c:v>318.74250000000001</c:v>
                </c:pt>
                <c:pt idx="12">
                  <c:v>306.59820000000002</c:v>
                </c:pt>
                <c:pt idx="13">
                  <c:v>303.1386</c:v>
                </c:pt>
                <c:pt idx="14">
                  <c:v>294.83460000000002</c:v>
                </c:pt>
                <c:pt idx="15">
                  <c:v>283.99450000000002</c:v>
                </c:pt>
                <c:pt idx="16">
                  <c:v>280.62729999999999</c:v>
                </c:pt>
                <c:pt idx="17">
                  <c:v>276.82499999999999</c:v>
                </c:pt>
                <c:pt idx="18">
                  <c:v>284.54230000000001</c:v>
                </c:pt>
                <c:pt idx="19">
                  <c:v>288.25880000000001</c:v>
                </c:pt>
                <c:pt idx="20">
                  <c:v>288.29340000000002</c:v>
                </c:pt>
                <c:pt idx="21">
                  <c:v>290.70699999999999</c:v>
                </c:pt>
                <c:pt idx="22">
                  <c:v>286.80860000000001</c:v>
                </c:pt>
                <c:pt idx="23">
                  <c:v>282.23149999999998</c:v>
                </c:pt>
              </c:numCache>
            </c:numRef>
          </c:val>
          <c:smooth val="0"/>
        </c:ser>
        <c:ser>
          <c:idx val="1"/>
          <c:order val="1"/>
          <c:tx>
            <c:strRef>
              <c:f>Sheet1!$C$2</c:f>
              <c:strCache>
                <c:ptCount val="1"/>
                <c:pt idx="0">
                  <c:v>Observed</c:v>
                </c:pt>
              </c:strCache>
            </c:strRef>
          </c:tx>
          <c:spPr>
            <a:ln w="38100" cap="rnd">
              <a:solidFill>
                <a:schemeClr val="accent2"/>
              </a:solidFill>
              <a:prstDash val="dash"/>
              <a:round/>
            </a:ln>
            <a:effectLst/>
          </c:spPr>
          <c:marker>
            <c:symbol val="none"/>
          </c:marker>
          <c:val>
            <c:numRef>
              <c:f>Sheet1!$C$3:$C$26</c:f>
              <c:numCache>
                <c:formatCode>#,##0</c:formatCode>
                <c:ptCount val="24"/>
                <c:pt idx="0">
                  <c:v>274.6284</c:v>
                </c:pt>
                <c:pt idx="1">
                  <c:v>268.4699</c:v>
                </c:pt>
                <c:pt idx="2">
                  <c:v>265.67020000000002</c:v>
                </c:pt>
                <c:pt idx="3">
                  <c:v>271.33089999999999</c:v>
                </c:pt>
                <c:pt idx="4">
                  <c:v>278.82940000000002</c:v>
                </c:pt>
                <c:pt idx="5">
                  <c:v>294.13709999999998</c:v>
                </c:pt>
                <c:pt idx="6">
                  <c:v>316.15620000000001</c:v>
                </c:pt>
                <c:pt idx="7">
                  <c:v>323.38780000000003</c:v>
                </c:pt>
                <c:pt idx="8">
                  <c:v>324.25990000000002</c:v>
                </c:pt>
                <c:pt idx="9">
                  <c:v>324.0976</c:v>
                </c:pt>
                <c:pt idx="10">
                  <c:v>321.65410000000003</c:v>
                </c:pt>
                <c:pt idx="11">
                  <c:v>318.74250000000001</c:v>
                </c:pt>
                <c:pt idx="12">
                  <c:v>242.47699</c:v>
                </c:pt>
                <c:pt idx="13">
                  <c:v>43.990200000000016</c:v>
                </c:pt>
                <c:pt idx="14">
                  <c:v>42.199700000000036</c:v>
                </c:pt>
                <c:pt idx="15">
                  <c:v>41.591400000000021</c:v>
                </c:pt>
                <c:pt idx="16">
                  <c:v>40.866099999999989</c:v>
                </c:pt>
                <c:pt idx="17">
                  <c:v>40.62269999999998</c:v>
                </c:pt>
                <c:pt idx="18">
                  <c:v>155.2089</c:v>
                </c:pt>
                <c:pt idx="19">
                  <c:v>214.46313000000001</c:v>
                </c:pt>
                <c:pt idx="20">
                  <c:v>246.68177000000003</c:v>
                </c:pt>
                <c:pt idx="21">
                  <c:v>248.15397999999999</c:v>
                </c:pt>
                <c:pt idx="22">
                  <c:v>244.85859000000002</c:v>
                </c:pt>
                <c:pt idx="23">
                  <c:v>240.93486999999999</c:v>
                </c:pt>
              </c:numCache>
            </c:numRef>
          </c:val>
          <c:smooth val="0"/>
        </c:ser>
        <c:ser>
          <c:idx val="4"/>
          <c:order val="3"/>
          <c:tx>
            <c:strRef>
              <c:f>Sheet1!$E$2</c:f>
              <c:strCache>
                <c:ptCount val="1"/>
                <c:pt idx="0">
                  <c:v>FSL</c:v>
                </c:pt>
              </c:strCache>
            </c:strRef>
          </c:tx>
          <c:spPr>
            <a:ln w="38100" cap="rnd">
              <a:solidFill>
                <a:schemeClr val="accent4">
                  <a:lumMod val="75000"/>
                </a:schemeClr>
              </a:solidFill>
              <a:round/>
            </a:ln>
            <a:effectLst/>
          </c:spPr>
          <c:marker>
            <c:symbol val="none"/>
          </c:marker>
          <c:val>
            <c:numRef>
              <c:f>Sheet1!$E$3:$E$26</c:f>
              <c:numCache>
                <c:formatCode>#,##0</c:formatCode>
                <c:ptCount val="24"/>
                <c:pt idx="0">
                  <c:v>47.529980000000002</c:v>
                </c:pt>
                <c:pt idx="1">
                  <c:v>47.529980000000002</c:v>
                </c:pt>
                <c:pt idx="2">
                  <c:v>47.529980000000002</c:v>
                </c:pt>
                <c:pt idx="3">
                  <c:v>47.529980000000002</c:v>
                </c:pt>
                <c:pt idx="4">
                  <c:v>47.529980000000002</c:v>
                </c:pt>
                <c:pt idx="5">
                  <c:v>47.529980000000002</c:v>
                </c:pt>
                <c:pt idx="6">
                  <c:v>47.529980000000002</c:v>
                </c:pt>
                <c:pt idx="7">
                  <c:v>47.529980000000002</c:v>
                </c:pt>
                <c:pt idx="8">
                  <c:v>47.529980000000002</c:v>
                </c:pt>
                <c:pt idx="9">
                  <c:v>47.529980000000002</c:v>
                </c:pt>
                <c:pt idx="10">
                  <c:v>47.529980000000002</c:v>
                </c:pt>
                <c:pt idx="11">
                  <c:v>47.529980000000002</c:v>
                </c:pt>
                <c:pt idx="12">
                  <c:v>47.529980000000002</c:v>
                </c:pt>
                <c:pt idx="13">
                  <c:v>47.529980000000002</c:v>
                </c:pt>
                <c:pt idx="14">
                  <c:v>47.529980000000002</c:v>
                </c:pt>
                <c:pt idx="15">
                  <c:v>47.529980000000002</c:v>
                </c:pt>
                <c:pt idx="16">
                  <c:v>47.529980000000002</c:v>
                </c:pt>
                <c:pt idx="17">
                  <c:v>47.529980000000002</c:v>
                </c:pt>
                <c:pt idx="18">
                  <c:v>47.529980000000002</c:v>
                </c:pt>
                <c:pt idx="19">
                  <c:v>47.529980000000002</c:v>
                </c:pt>
                <c:pt idx="20">
                  <c:v>47.529980000000002</c:v>
                </c:pt>
                <c:pt idx="21">
                  <c:v>47.529980000000002</c:v>
                </c:pt>
                <c:pt idx="22">
                  <c:v>47.529980000000002</c:v>
                </c:pt>
                <c:pt idx="23">
                  <c:v>47.529980000000002</c:v>
                </c:pt>
              </c:numCache>
            </c:numRef>
          </c:val>
          <c:smooth val="0"/>
        </c:ser>
        <c:dLbls>
          <c:showLegendKey val="0"/>
          <c:showVal val="0"/>
          <c:showCatName val="0"/>
          <c:showSerName val="0"/>
          <c:showPercent val="0"/>
          <c:showBubbleSize val="0"/>
        </c:dLbls>
        <c:marker val="1"/>
        <c:smooth val="0"/>
        <c:axId val="529044464"/>
        <c:axId val="529045024"/>
      </c:lineChart>
      <c:lineChart>
        <c:grouping val="standard"/>
        <c:varyColors val="0"/>
        <c:ser>
          <c:idx val="2"/>
          <c:order val="2"/>
          <c:tx>
            <c:strRef>
              <c:f>Sheet1!$D$2</c:f>
              <c:strCache>
                <c:ptCount val="1"/>
                <c:pt idx="0">
                  <c:v>Load Impact</c:v>
                </c:pt>
              </c:strCache>
            </c:strRef>
          </c:tx>
          <c:spPr>
            <a:ln w="38100" cap="rnd">
              <a:solidFill>
                <a:srgbClr val="92D050"/>
              </a:solidFill>
              <a:round/>
            </a:ln>
            <a:effectLst/>
          </c:spPr>
          <c:marker>
            <c:symbol val="diamond"/>
            <c:size val="8"/>
            <c:spPr>
              <a:solidFill>
                <a:srgbClr val="92D050"/>
              </a:solidFill>
              <a:ln w="9525">
                <a:solidFill>
                  <a:srgbClr val="92D050"/>
                </a:solidFill>
              </a:ln>
              <a:effectLst/>
            </c:spPr>
          </c:marker>
          <c:val>
            <c:numRef>
              <c:f>Sheet1!$D$3:$D$26</c:f>
              <c:numCache>
                <c:formatCode>#,##0</c:formatCode>
                <c:ptCount val="24"/>
                <c:pt idx="0">
                  <c:v>0</c:v>
                </c:pt>
                <c:pt idx="1">
                  <c:v>0</c:v>
                </c:pt>
                <c:pt idx="2">
                  <c:v>0</c:v>
                </c:pt>
                <c:pt idx="3">
                  <c:v>0</c:v>
                </c:pt>
                <c:pt idx="4">
                  <c:v>0</c:v>
                </c:pt>
                <c:pt idx="5">
                  <c:v>0</c:v>
                </c:pt>
                <c:pt idx="6">
                  <c:v>0</c:v>
                </c:pt>
                <c:pt idx="7">
                  <c:v>0</c:v>
                </c:pt>
                <c:pt idx="8">
                  <c:v>0</c:v>
                </c:pt>
                <c:pt idx="9">
                  <c:v>0</c:v>
                </c:pt>
                <c:pt idx="10">
                  <c:v>0</c:v>
                </c:pt>
                <c:pt idx="11">
                  <c:v>0</c:v>
                </c:pt>
                <c:pt idx="12">
                  <c:v>64.121210000000005</c:v>
                </c:pt>
                <c:pt idx="13">
                  <c:v>259.14839999999998</c:v>
                </c:pt>
                <c:pt idx="14">
                  <c:v>252.63489999999999</c:v>
                </c:pt>
                <c:pt idx="15">
                  <c:v>242.40309999999999</c:v>
                </c:pt>
                <c:pt idx="16">
                  <c:v>239.7612</c:v>
                </c:pt>
                <c:pt idx="17">
                  <c:v>236.20230000000001</c:v>
                </c:pt>
                <c:pt idx="18">
                  <c:v>129.33340000000001</c:v>
                </c:pt>
                <c:pt idx="19">
                  <c:v>73.795670000000001</c:v>
                </c:pt>
                <c:pt idx="20">
                  <c:v>41.611629999999998</c:v>
                </c:pt>
                <c:pt idx="21">
                  <c:v>42.553019999999997</c:v>
                </c:pt>
                <c:pt idx="22">
                  <c:v>41.950009999999999</c:v>
                </c:pt>
                <c:pt idx="23">
                  <c:v>41.29663</c:v>
                </c:pt>
              </c:numCache>
            </c:numRef>
          </c:val>
          <c:smooth val="0"/>
        </c:ser>
        <c:dLbls>
          <c:showLegendKey val="0"/>
          <c:showVal val="0"/>
          <c:showCatName val="0"/>
          <c:showSerName val="0"/>
          <c:showPercent val="0"/>
          <c:showBubbleSize val="0"/>
        </c:dLbls>
        <c:marker val="1"/>
        <c:smooth val="0"/>
        <c:axId val="529046144"/>
        <c:axId val="529045584"/>
      </c:lineChart>
      <c:catAx>
        <c:axId val="529044464"/>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Hour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29045024"/>
        <c:crosses val="autoZero"/>
        <c:auto val="1"/>
        <c:lblAlgn val="ctr"/>
        <c:lblOffset val="100"/>
        <c:noMultiLvlLbl val="0"/>
      </c:catAx>
      <c:valAx>
        <c:axId val="529045024"/>
        <c:scaling>
          <c:orientation val="minMax"/>
          <c:max val="4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(MW)</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29044464"/>
        <c:crosses val="autoZero"/>
        <c:crossBetween val="between"/>
      </c:valAx>
      <c:valAx>
        <c:axId val="529045584"/>
        <c:scaling>
          <c:orientation val="minMax"/>
          <c:max val="400"/>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a:t>Load Impact (MW)</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529046144"/>
        <c:crosses val="max"/>
        <c:crossBetween val="between"/>
      </c:valAx>
      <c:catAx>
        <c:axId val="529046144"/>
        <c:scaling>
          <c:orientation val="minMax"/>
        </c:scaling>
        <c:delete val="1"/>
        <c:axPos val="b"/>
        <c:majorTickMark val="out"/>
        <c:minorTickMark val="none"/>
        <c:tickLblPos val="nextTo"/>
        <c:crossAx val="52904558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Sheet1!$G$2</c:f>
              <c:strCache>
                <c:ptCount val="1"/>
                <c:pt idx="0">
                  <c:v>Load Impact (MW)</c:v>
                </c:pt>
              </c:strCache>
            </c:strRef>
          </c:tx>
          <c:spPr>
            <a:solidFill>
              <a:schemeClr val="accent1"/>
            </a:solidFill>
            <a:ln>
              <a:noFill/>
            </a:ln>
            <a:effectLst/>
          </c:spPr>
          <c:invertIfNegative val="0"/>
          <c:cat>
            <c:strRef>
              <c:f>Sheet1!$F$3:$F$6</c:f>
              <c:strCache>
                <c:ptCount val="4"/>
                <c:pt idx="0">
                  <c:v>Utility 1-in-2</c:v>
                </c:pt>
                <c:pt idx="1">
                  <c:v>Utility 1-in-10</c:v>
                </c:pt>
                <c:pt idx="2">
                  <c:v>CAISO 1-in-2</c:v>
                </c:pt>
                <c:pt idx="3">
                  <c:v>CAISO 1-in-10</c:v>
                </c:pt>
              </c:strCache>
            </c:strRef>
          </c:cat>
          <c:val>
            <c:numRef>
              <c:f>Sheet1!$G$3:$G$6</c:f>
              <c:numCache>
                <c:formatCode>0.0</c:formatCode>
                <c:ptCount val="4"/>
                <c:pt idx="0">
                  <c:v>246.02999877929687</c:v>
                </c:pt>
                <c:pt idx="1">
                  <c:v>246.02999877929687</c:v>
                </c:pt>
                <c:pt idx="2">
                  <c:v>246.02999877929687</c:v>
                </c:pt>
                <c:pt idx="3">
                  <c:v>246.02999877929687</c:v>
                </c:pt>
              </c:numCache>
            </c:numRef>
          </c:val>
        </c:ser>
        <c:dLbls>
          <c:showLegendKey val="0"/>
          <c:showVal val="0"/>
          <c:showCatName val="0"/>
          <c:showSerName val="0"/>
          <c:showPercent val="0"/>
          <c:showBubbleSize val="0"/>
        </c:dLbls>
        <c:gapWidth val="219"/>
        <c:overlap val="-27"/>
        <c:axId val="529048384"/>
        <c:axId val="529048944"/>
      </c:barChart>
      <c:catAx>
        <c:axId val="529048384"/>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Weather Scenario</a:t>
                </a:r>
              </a:p>
            </c:rich>
          </c:tx>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crossAx val="529048944"/>
        <c:crosses val="autoZero"/>
        <c:auto val="1"/>
        <c:lblAlgn val="ctr"/>
        <c:lblOffset val="100"/>
        <c:noMultiLvlLbl val="0"/>
      </c:catAx>
      <c:valAx>
        <c:axId val="5290489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Load Impact (MW)</a:t>
                </a:r>
              </a:p>
            </c:rich>
          </c:tx>
          <c:overlay val="0"/>
          <c:spPr>
            <a:noFill/>
            <a:ln>
              <a:noFill/>
            </a:ln>
            <a:effectLst/>
          </c:spPr>
          <c:txPr>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529048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45CA1-0C00-41C7-B4EC-6D82F31D1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55508E5E.dotm</Template>
  <TotalTime>18</TotalTime>
  <Pages>73</Pages>
  <Words>16438</Words>
  <Characters>93699</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Sempra Energy</Company>
  <LinksUpToDate>false</LinksUpToDate>
  <CharactersWithSpaces>109918</CharactersWithSpaces>
  <SharedDoc>false</SharedDoc>
  <HLinks>
    <vt:vector size="1026" baseType="variant">
      <vt:variant>
        <vt:i4>1966134</vt:i4>
      </vt:variant>
      <vt:variant>
        <vt:i4>1022</vt:i4>
      </vt:variant>
      <vt:variant>
        <vt:i4>0</vt:i4>
      </vt:variant>
      <vt:variant>
        <vt:i4>5</vt:i4>
      </vt:variant>
      <vt:variant>
        <vt:lpwstr/>
      </vt:variant>
      <vt:variant>
        <vt:lpwstr>_Toc380052037</vt:lpwstr>
      </vt:variant>
      <vt:variant>
        <vt:i4>1966134</vt:i4>
      </vt:variant>
      <vt:variant>
        <vt:i4>1016</vt:i4>
      </vt:variant>
      <vt:variant>
        <vt:i4>0</vt:i4>
      </vt:variant>
      <vt:variant>
        <vt:i4>5</vt:i4>
      </vt:variant>
      <vt:variant>
        <vt:lpwstr/>
      </vt:variant>
      <vt:variant>
        <vt:lpwstr>_Toc380052036</vt:lpwstr>
      </vt:variant>
      <vt:variant>
        <vt:i4>1966134</vt:i4>
      </vt:variant>
      <vt:variant>
        <vt:i4>1010</vt:i4>
      </vt:variant>
      <vt:variant>
        <vt:i4>0</vt:i4>
      </vt:variant>
      <vt:variant>
        <vt:i4>5</vt:i4>
      </vt:variant>
      <vt:variant>
        <vt:lpwstr/>
      </vt:variant>
      <vt:variant>
        <vt:lpwstr>_Toc380052035</vt:lpwstr>
      </vt:variant>
      <vt:variant>
        <vt:i4>1966134</vt:i4>
      </vt:variant>
      <vt:variant>
        <vt:i4>1004</vt:i4>
      </vt:variant>
      <vt:variant>
        <vt:i4>0</vt:i4>
      </vt:variant>
      <vt:variant>
        <vt:i4>5</vt:i4>
      </vt:variant>
      <vt:variant>
        <vt:lpwstr/>
      </vt:variant>
      <vt:variant>
        <vt:lpwstr>_Toc380052034</vt:lpwstr>
      </vt:variant>
      <vt:variant>
        <vt:i4>1966134</vt:i4>
      </vt:variant>
      <vt:variant>
        <vt:i4>998</vt:i4>
      </vt:variant>
      <vt:variant>
        <vt:i4>0</vt:i4>
      </vt:variant>
      <vt:variant>
        <vt:i4>5</vt:i4>
      </vt:variant>
      <vt:variant>
        <vt:lpwstr/>
      </vt:variant>
      <vt:variant>
        <vt:lpwstr>_Toc380052033</vt:lpwstr>
      </vt:variant>
      <vt:variant>
        <vt:i4>1966134</vt:i4>
      </vt:variant>
      <vt:variant>
        <vt:i4>992</vt:i4>
      </vt:variant>
      <vt:variant>
        <vt:i4>0</vt:i4>
      </vt:variant>
      <vt:variant>
        <vt:i4>5</vt:i4>
      </vt:variant>
      <vt:variant>
        <vt:lpwstr/>
      </vt:variant>
      <vt:variant>
        <vt:lpwstr>_Toc380052032</vt:lpwstr>
      </vt:variant>
      <vt:variant>
        <vt:i4>1966134</vt:i4>
      </vt:variant>
      <vt:variant>
        <vt:i4>986</vt:i4>
      </vt:variant>
      <vt:variant>
        <vt:i4>0</vt:i4>
      </vt:variant>
      <vt:variant>
        <vt:i4>5</vt:i4>
      </vt:variant>
      <vt:variant>
        <vt:lpwstr/>
      </vt:variant>
      <vt:variant>
        <vt:lpwstr>_Toc380052031</vt:lpwstr>
      </vt:variant>
      <vt:variant>
        <vt:i4>1966134</vt:i4>
      </vt:variant>
      <vt:variant>
        <vt:i4>980</vt:i4>
      </vt:variant>
      <vt:variant>
        <vt:i4>0</vt:i4>
      </vt:variant>
      <vt:variant>
        <vt:i4>5</vt:i4>
      </vt:variant>
      <vt:variant>
        <vt:lpwstr/>
      </vt:variant>
      <vt:variant>
        <vt:lpwstr>_Toc380052030</vt:lpwstr>
      </vt:variant>
      <vt:variant>
        <vt:i4>2031670</vt:i4>
      </vt:variant>
      <vt:variant>
        <vt:i4>974</vt:i4>
      </vt:variant>
      <vt:variant>
        <vt:i4>0</vt:i4>
      </vt:variant>
      <vt:variant>
        <vt:i4>5</vt:i4>
      </vt:variant>
      <vt:variant>
        <vt:lpwstr/>
      </vt:variant>
      <vt:variant>
        <vt:lpwstr>_Toc380052029</vt:lpwstr>
      </vt:variant>
      <vt:variant>
        <vt:i4>2031670</vt:i4>
      </vt:variant>
      <vt:variant>
        <vt:i4>968</vt:i4>
      </vt:variant>
      <vt:variant>
        <vt:i4>0</vt:i4>
      </vt:variant>
      <vt:variant>
        <vt:i4>5</vt:i4>
      </vt:variant>
      <vt:variant>
        <vt:lpwstr/>
      </vt:variant>
      <vt:variant>
        <vt:lpwstr>_Toc380052028</vt:lpwstr>
      </vt:variant>
      <vt:variant>
        <vt:i4>2031670</vt:i4>
      </vt:variant>
      <vt:variant>
        <vt:i4>962</vt:i4>
      </vt:variant>
      <vt:variant>
        <vt:i4>0</vt:i4>
      </vt:variant>
      <vt:variant>
        <vt:i4>5</vt:i4>
      </vt:variant>
      <vt:variant>
        <vt:lpwstr/>
      </vt:variant>
      <vt:variant>
        <vt:lpwstr>_Toc380052027</vt:lpwstr>
      </vt:variant>
      <vt:variant>
        <vt:i4>2031670</vt:i4>
      </vt:variant>
      <vt:variant>
        <vt:i4>956</vt:i4>
      </vt:variant>
      <vt:variant>
        <vt:i4>0</vt:i4>
      </vt:variant>
      <vt:variant>
        <vt:i4>5</vt:i4>
      </vt:variant>
      <vt:variant>
        <vt:lpwstr/>
      </vt:variant>
      <vt:variant>
        <vt:lpwstr>_Toc380052026</vt:lpwstr>
      </vt:variant>
      <vt:variant>
        <vt:i4>2031670</vt:i4>
      </vt:variant>
      <vt:variant>
        <vt:i4>950</vt:i4>
      </vt:variant>
      <vt:variant>
        <vt:i4>0</vt:i4>
      </vt:variant>
      <vt:variant>
        <vt:i4>5</vt:i4>
      </vt:variant>
      <vt:variant>
        <vt:lpwstr/>
      </vt:variant>
      <vt:variant>
        <vt:lpwstr>_Toc380052025</vt:lpwstr>
      </vt:variant>
      <vt:variant>
        <vt:i4>2031670</vt:i4>
      </vt:variant>
      <vt:variant>
        <vt:i4>944</vt:i4>
      </vt:variant>
      <vt:variant>
        <vt:i4>0</vt:i4>
      </vt:variant>
      <vt:variant>
        <vt:i4>5</vt:i4>
      </vt:variant>
      <vt:variant>
        <vt:lpwstr/>
      </vt:variant>
      <vt:variant>
        <vt:lpwstr>_Toc380052024</vt:lpwstr>
      </vt:variant>
      <vt:variant>
        <vt:i4>2031670</vt:i4>
      </vt:variant>
      <vt:variant>
        <vt:i4>938</vt:i4>
      </vt:variant>
      <vt:variant>
        <vt:i4>0</vt:i4>
      </vt:variant>
      <vt:variant>
        <vt:i4>5</vt:i4>
      </vt:variant>
      <vt:variant>
        <vt:lpwstr/>
      </vt:variant>
      <vt:variant>
        <vt:lpwstr>_Toc380052023</vt:lpwstr>
      </vt:variant>
      <vt:variant>
        <vt:i4>2031670</vt:i4>
      </vt:variant>
      <vt:variant>
        <vt:i4>932</vt:i4>
      </vt:variant>
      <vt:variant>
        <vt:i4>0</vt:i4>
      </vt:variant>
      <vt:variant>
        <vt:i4>5</vt:i4>
      </vt:variant>
      <vt:variant>
        <vt:lpwstr/>
      </vt:variant>
      <vt:variant>
        <vt:lpwstr>_Toc380052022</vt:lpwstr>
      </vt:variant>
      <vt:variant>
        <vt:i4>2031670</vt:i4>
      </vt:variant>
      <vt:variant>
        <vt:i4>926</vt:i4>
      </vt:variant>
      <vt:variant>
        <vt:i4>0</vt:i4>
      </vt:variant>
      <vt:variant>
        <vt:i4>5</vt:i4>
      </vt:variant>
      <vt:variant>
        <vt:lpwstr/>
      </vt:variant>
      <vt:variant>
        <vt:lpwstr>_Toc380052021</vt:lpwstr>
      </vt:variant>
      <vt:variant>
        <vt:i4>2031670</vt:i4>
      </vt:variant>
      <vt:variant>
        <vt:i4>920</vt:i4>
      </vt:variant>
      <vt:variant>
        <vt:i4>0</vt:i4>
      </vt:variant>
      <vt:variant>
        <vt:i4>5</vt:i4>
      </vt:variant>
      <vt:variant>
        <vt:lpwstr/>
      </vt:variant>
      <vt:variant>
        <vt:lpwstr>_Toc380052020</vt:lpwstr>
      </vt:variant>
      <vt:variant>
        <vt:i4>1835062</vt:i4>
      </vt:variant>
      <vt:variant>
        <vt:i4>914</vt:i4>
      </vt:variant>
      <vt:variant>
        <vt:i4>0</vt:i4>
      </vt:variant>
      <vt:variant>
        <vt:i4>5</vt:i4>
      </vt:variant>
      <vt:variant>
        <vt:lpwstr/>
      </vt:variant>
      <vt:variant>
        <vt:lpwstr>_Toc380052019</vt:lpwstr>
      </vt:variant>
      <vt:variant>
        <vt:i4>1835062</vt:i4>
      </vt:variant>
      <vt:variant>
        <vt:i4>908</vt:i4>
      </vt:variant>
      <vt:variant>
        <vt:i4>0</vt:i4>
      </vt:variant>
      <vt:variant>
        <vt:i4>5</vt:i4>
      </vt:variant>
      <vt:variant>
        <vt:lpwstr/>
      </vt:variant>
      <vt:variant>
        <vt:lpwstr>_Toc380052018</vt:lpwstr>
      </vt:variant>
      <vt:variant>
        <vt:i4>1835062</vt:i4>
      </vt:variant>
      <vt:variant>
        <vt:i4>902</vt:i4>
      </vt:variant>
      <vt:variant>
        <vt:i4>0</vt:i4>
      </vt:variant>
      <vt:variant>
        <vt:i4>5</vt:i4>
      </vt:variant>
      <vt:variant>
        <vt:lpwstr/>
      </vt:variant>
      <vt:variant>
        <vt:lpwstr>_Toc380052017</vt:lpwstr>
      </vt:variant>
      <vt:variant>
        <vt:i4>1835062</vt:i4>
      </vt:variant>
      <vt:variant>
        <vt:i4>896</vt:i4>
      </vt:variant>
      <vt:variant>
        <vt:i4>0</vt:i4>
      </vt:variant>
      <vt:variant>
        <vt:i4>5</vt:i4>
      </vt:variant>
      <vt:variant>
        <vt:lpwstr/>
      </vt:variant>
      <vt:variant>
        <vt:lpwstr>_Toc380052016</vt:lpwstr>
      </vt:variant>
      <vt:variant>
        <vt:i4>1835062</vt:i4>
      </vt:variant>
      <vt:variant>
        <vt:i4>890</vt:i4>
      </vt:variant>
      <vt:variant>
        <vt:i4>0</vt:i4>
      </vt:variant>
      <vt:variant>
        <vt:i4>5</vt:i4>
      </vt:variant>
      <vt:variant>
        <vt:lpwstr/>
      </vt:variant>
      <vt:variant>
        <vt:lpwstr>_Toc380052015</vt:lpwstr>
      </vt:variant>
      <vt:variant>
        <vt:i4>1835062</vt:i4>
      </vt:variant>
      <vt:variant>
        <vt:i4>884</vt:i4>
      </vt:variant>
      <vt:variant>
        <vt:i4>0</vt:i4>
      </vt:variant>
      <vt:variant>
        <vt:i4>5</vt:i4>
      </vt:variant>
      <vt:variant>
        <vt:lpwstr/>
      </vt:variant>
      <vt:variant>
        <vt:lpwstr>_Toc380052014</vt:lpwstr>
      </vt:variant>
      <vt:variant>
        <vt:i4>1835062</vt:i4>
      </vt:variant>
      <vt:variant>
        <vt:i4>878</vt:i4>
      </vt:variant>
      <vt:variant>
        <vt:i4>0</vt:i4>
      </vt:variant>
      <vt:variant>
        <vt:i4>5</vt:i4>
      </vt:variant>
      <vt:variant>
        <vt:lpwstr/>
      </vt:variant>
      <vt:variant>
        <vt:lpwstr>_Toc380052013</vt:lpwstr>
      </vt:variant>
      <vt:variant>
        <vt:i4>1835062</vt:i4>
      </vt:variant>
      <vt:variant>
        <vt:i4>872</vt:i4>
      </vt:variant>
      <vt:variant>
        <vt:i4>0</vt:i4>
      </vt:variant>
      <vt:variant>
        <vt:i4>5</vt:i4>
      </vt:variant>
      <vt:variant>
        <vt:lpwstr/>
      </vt:variant>
      <vt:variant>
        <vt:lpwstr>_Toc380052012</vt:lpwstr>
      </vt:variant>
      <vt:variant>
        <vt:i4>1835062</vt:i4>
      </vt:variant>
      <vt:variant>
        <vt:i4>866</vt:i4>
      </vt:variant>
      <vt:variant>
        <vt:i4>0</vt:i4>
      </vt:variant>
      <vt:variant>
        <vt:i4>5</vt:i4>
      </vt:variant>
      <vt:variant>
        <vt:lpwstr/>
      </vt:variant>
      <vt:variant>
        <vt:lpwstr>_Toc380052011</vt:lpwstr>
      </vt:variant>
      <vt:variant>
        <vt:i4>1835062</vt:i4>
      </vt:variant>
      <vt:variant>
        <vt:i4>860</vt:i4>
      </vt:variant>
      <vt:variant>
        <vt:i4>0</vt:i4>
      </vt:variant>
      <vt:variant>
        <vt:i4>5</vt:i4>
      </vt:variant>
      <vt:variant>
        <vt:lpwstr/>
      </vt:variant>
      <vt:variant>
        <vt:lpwstr>_Toc380052010</vt:lpwstr>
      </vt:variant>
      <vt:variant>
        <vt:i4>1900598</vt:i4>
      </vt:variant>
      <vt:variant>
        <vt:i4>854</vt:i4>
      </vt:variant>
      <vt:variant>
        <vt:i4>0</vt:i4>
      </vt:variant>
      <vt:variant>
        <vt:i4>5</vt:i4>
      </vt:variant>
      <vt:variant>
        <vt:lpwstr/>
      </vt:variant>
      <vt:variant>
        <vt:lpwstr>_Toc380052009</vt:lpwstr>
      </vt:variant>
      <vt:variant>
        <vt:i4>1900598</vt:i4>
      </vt:variant>
      <vt:variant>
        <vt:i4>848</vt:i4>
      </vt:variant>
      <vt:variant>
        <vt:i4>0</vt:i4>
      </vt:variant>
      <vt:variant>
        <vt:i4>5</vt:i4>
      </vt:variant>
      <vt:variant>
        <vt:lpwstr/>
      </vt:variant>
      <vt:variant>
        <vt:lpwstr>_Toc380052008</vt:lpwstr>
      </vt:variant>
      <vt:variant>
        <vt:i4>1900598</vt:i4>
      </vt:variant>
      <vt:variant>
        <vt:i4>842</vt:i4>
      </vt:variant>
      <vt:variant>
        <vt:i4>0</vt:i4>
      </vt:variant>
      <vt:variant>
        <vt:i4>5</vt:i4>
      </vt:variant>
      <vt:variant>
        <vt:lpwstr/>
      </vt:variant>
      <vt:variant>
        <vt:lpwstr>_Toc380052007</vt:lpwstr>
      </vt:variant>
      <vt:variant>
        <vt:i4>1900598</vt:i4>
      </vt:variant>
      <vt:variant>
        <vt:i4>836</vt:i4>
      </vt:variant>
      <vt:variant>
        <vt:i4>0</vt:i4>
      </vt:variant>
      <vt:variant>
        <vt:i4>5</vt:i4>
      </vt:variant>
      <vt:variant>
        <vt:lpwstr/>
      </vt:variant>
      <vt:variant>
        <vt:lpwstr>_Toc380052006</vt:lpwstr>
      </vt:variant>
      <vt:variant>
        <vt:i4>1900598</vt:i4>
      </vt:variant>
      <vt:variant>
        <vt:i4>830</vt:i4>
      </vt:variant>
      <vt:variant>
        <vt:i4>0</vt:i4>
      </vt:variant>
      <vt:variant>
        <vt:i4>5</vt:i4>
      </vt:variant>
      <vt:variant>
        <vt:lpwstr/>
      </vt:variant>
      <vt:variant>
        <vt:lpwstr>_Toc380052005</vt:lpwstr>
      </vt:variant>
      <vt:variant>
        <vt:i4>1900598</vt:i4>
      </vt:variant>
      <vt:variant>
        <vt:i4>824</vt:i4>
      </vt:variant>
      <vt:variant>
        <vt:i4>0</vt:i4>
      </vt:variant>
      <vt:variant>
        <vt:i4>5</vt:i4>
      </vt:variant>
      <vt:variant>
        <vt:lpwstr/>
      </vt:variant>
      <vt:variant>
        <vt:lpwstr>_Toc380052004</vt:lpwstr>
      </vt:variant>
      <vt:variant>
        <vt:i4>1900598</vt:i4>
      </vt:variant>
      <vt:variant>
        <vt:i4>818</vt:i4>
      </vt:variant>
      <vt:variant>
        <vt:i4>0</vt:i4>
      </vt:variant>
      <vt:variant>
        <vt:i4>5</vt:i4>
      </vt:variant>
      <vt:variant>
        <vt:lpwstr/>
      </vt:variant>
      <vt:variant>
        <vt:lpwstr>_Toc380052003</vt:lpwstr>
      </vt:variant>
      <vt:variant>
        <vt:i4>1572927</vt:i4>
      </vt:variant>
      <vt:variant>
        <vt:i4>809</vt:i4>
      </vt:variant>
      <vt:variant>
        <vt:i4>0</vt:i4>
      </vt:variant>
      <vt:variant>
        <vt:i4>5</vt:i4>
      </vt:variant>
      <vt:variant>
        <vt:lpwstr/>
      </vt:variant>
      <vt:variant>
        <vt:lpwstr>_Toc380051966</vt:lpwstr>
      </vt:variant>
      <vt:variant>
        <vt:i4>1572927</vt:i4>
      </vt:variant>
      <vt:variant>
        <vt:i4>803</vt:i4>
      </vt:variant>
      <vt:variant>
        <vt:i4>0</vt:i4>
      </vt:variant>
      <vt:variant>
        <vt:i4>5</vt:i4>
      </vt:variant>
      <vt:variant>
        <vt:lpwstr/>
      </vt:variant>
      <vt:variant>
        <vt:lpwstr>_Toc380051965</vt:lpwstr>
      </vt:variant>
      <vt:variant>
        <vt:i4>1572927</vt:i4>
      </vt:variant>
      <vt:variant>
        <vt:i4>797</vt:i4>
      </vt:variant>
      <vt:variant>
        <vt:i4>0</vt:i4>
      </vt:variant>
      <vt:variant>
        <vt:i4>5</vt:i4>
      </vt:variant>
      <vt:variant>
        <vt:lpwstr/>
      </vt:variant>
      <vt:variant>
        <vt:lpwstr>_Toc380051964</vt:lpwstr>
      </vt:variant>
      <vt:variant>
        <vt:i4>1572927</vt:i4>
      </vt:variant>
      <vt:variant>
        <vt:i4>791</vt:i4>
      </vt:variant>
      <vt:variant>
        <vt:i4>0</vt:i4>
      </vt:variant>
      <vt:variant>
        <vt:i4>5</vt:i4>
      </vt:variant>
      <vt:variant>
        <vt:lpwstr/>
      </vt:variant>
      <vt:variant>
        <vt:lpwstr>_Toc380051963</vt:lpwstr>
      </vt:variant>
      <vt:variant>
        <vt:i4>1572927</vt:i4>
      </vt:variant>
      <vt:variant>
        <vt:i4>785</vt:i4>
      </vt:variant>
      <vt:variant>
        <vt:i4>0</vt:i4>
      </vt:variant>
      <vt:variant>
        <vt:i4>5</vt:i4>
      </vt:variant>
      <vt:variant>
        <vt:lpwstr/>
      </vt:variant>
      <vt:variant>
        <vt:lpwstr>_Toc380051962</vt:lpwstr>
      </vt:variant>
      <vt:variant>
        <vt:i4>1572927</vt:i4>
      </vt:variant>
      <vt:variant>
        <vt:i4>779</vt:i4>
      </vt:variant>
      <vt:variant>
        <vt:i4>0</vt:i4>
      </vt:variant>
      <vt:variant>
        <vt:i4>5</vt:i4>
      </vt:variant>
      <vt:variant>
        <vt:lpwstr/>
      </vt:variant>
      <vt:variant>
        <vt:lpwstr>_Toc380051961</vt:lpwstr>
      </vt:variant>
      <vt:variant>
        <vt:i4>1572927</vt:i4>
      </vt:variant>
      <vt:variant>
        <vt:i4>773</vt:i4>
      </vt:variant>
      <vt:variant>
        <vt:i4>0</vt:i4>
      </vt:variant>
      <vt:variant>
        <vt:i4>5</vt:i4>
      </vt:variant>
      <vt:variant>
        <vt:lpwstr/>
      </vt:variant>
      <vt:variant>
        <vt:lpwstr>_Toc380051960</vt:lpwstr>
      </vt:variant>
      <vt:variant>
        <vt:i4>1769535</vt:i4>
      </vt:variant>
      <vt:variant>
        <vt:i4>767</vt:i4>
      </vt:variant>
      <vt:variant>
        <vt:i4>0</vt:i4>
      </vt:variant>
      <vt:variant>
        <vt:i4>5</vt:i4>
      </vt:variant>
      <vt:variant>
        <vt:lpwstr/>
      </vt:variant>
      <vt:variant>
        <vt:lpwstr>_Toc380051959</vt:lpwstr>
      </vt:variant>
      <vt:variant>
        <vt:i4>1769535</vt:i4>
      </vt:variant>
      <vt:variant>
        <vt:i4>761</vt:i4>
      </vt:variant>
      <vt:variant>
        <vt:i4>0</vt:i4>
      </vt:variant>
      <vt:variant>
        <vt:i4>5</vt:i4>
      </vt:variant>
      <vt:variant>
        <vt:lpwstr/>
      </vt:variant>
      <vt:variant>
        <vt:lpwstr>_Toc380051958</vt:lpwstr>
      </vt:variant>
      <vt:variant>
        <vt:i4>1769535</vt:i4>
      </vt:variant>
      <vt:variant>
        <vt:i4>755</vt:i4>
      </vt:variant>
      <vt:variant>
        <vt:i4>0</vt:i4>
      </vt:variant>
      <vt:variant>
        <vt:i4>5</vt:i4>
      </vt:variant>
      <vt:variant>
        <vt:lpwstr/>
      </vt:variant>
      <vt:variant>
        <vt:lpwstr>_Toc380051957</vt:lpwstr>
      </vt:variant>
      <vt:variant>
        <vt:i4>1769535</vt:i4>
      </vt:variant>
      <vt:variant>
        <vt:i4>749</vt:i4>
      </vt:variant>
      <vt:variant>
        <vt:i4>0</vt:i4>
      </vt:variant>
      <vt:variant>
        <vt:i4>5</vt:i4>
      </vt:variant>
      <vt:variant>
        <vt:lpwstr/>
      </vt:variant>
      <vt:variant>
        <vt:lpwstr>_Toc380051956</vt:lpwstr>
      </vt:variant>
      <vt:variant>
        <vt:i4>1769535</vt:i4>
      </vt:variant>
      <vt:variant>
        <vt:i4>743</vt:i4>
      </vt:variant>
      <vt:variant>
        <vt:i4>0</vt:i4>
      </vt:variant>
      <vt:variant>
        <vt:i4>5</vt:i4>
      </vt:variant>
      <vt:variant>
        <vt:lpwstr/>
      </vt:variant>
      <vt:variant>
        <vt:lpwstr>_Toc380051955</vt:lpwstr>
      </vt:variant>
      <vt:variant>
        <vt:i4>1769535</vt:i4>
      </vt:variant>
      <vt:variant>
        <vt:i4>737</vt:i4>
      </vt:variant>
      <vt:variant>
        <vt:i4>0</vt:i4>
      </vt:variant>
      <vt:variant>
        <vt:i4>5</vt:i4>
      </vt:variant>
      <vt:variant>
        <vt:lpwstr/>
      </vt:variant>
      <vt:variant>
        <vt:lpwstr>_Toc380051954</vt:lpwstr>
      </vt:variant>
      <vt:variant>
        <vt:i4>1769535</vt:i4>
      </vt:variant>
      <vt:variant>
        <vt:i4>731</vt:i4>
      </vt:variant>
      <vt:variant>
        <vt:i4>0</vt:i4>
      </vt:variant>
      <vt:variant>
        <vt:i4>5</vt:i4>
      </vt:variant>
      <vt:variant>
        <vt:lpwstr/>
      </vt:variant>
      <vt:variant>
        <vt:lpwstr>_Toc380051953</vt:lpwstr>
      </vt:variant>
      <vt:variant>
        <vt:i4>1769535</vt:i4>
      </vt:variant>
      <vt:variant>
        <vt:i4>725</vt:i4>
      </vt:variant>
      <vt:variant>
        <vt:i4>0</vt:i4>
      </vt:variant>
      <vt:variant>
        <vt:i4>5</vt:i4>
      </vt:variant>
      <vt:variant>
        <vt:lpwstr/>
      </vt:variant>
      <vt:variant>
        <vt:lpwstr>_Toc380051952</vt:lpwstr>
      </vt:variant>
      <vt:variant>
        <vt:i4>1769535</vt:i4>
      </vt:variant>
      <vt:variant>
        <vt:i4>719</vt:i4>
      </vt:variant>
      <vt:variant>
        <vt:i4>0</vt:i4>
      </vt:variant>
      <vt:variant>
        <vt:i4>5</vt:i4>
      </vt:variant>
      <vt:variant>
        <vt:lpwstr/>
      </vt:variant>
      <vt:variant>
        <vt:lpwstr>_Toc380051951</vt:lpwstr>
      </vt:variant>
      <vt:variant>
        <vt:i4>1769535</vt:i4>
      </vt:variant>
      <vt:variant>
        <vt:i4>713</vt:i4>
      </vt:variant>
      <vt:variant>
        <vt:i4>0</vt:i4>
      </vt:variant>
      <vt:variant>
        <vt:i4>5</vt:i4>
      </vt:variant>
      <vt:variant>
        <vt:lpwstr/>
      </vt:variant>
      <vt:variant>
        <vt:lpwstr>_Toc380051950</vt:lpwstr>
      </vt:variant>
      <vt:variant>
        <vt:i4>1703999</vt:i4>
      </vt:variant>
      <vt:variant>
        <vt:i4>707</vt:i4>
      </vt:variant>
      <vt:variant>
        <vt:i4>0</vt:i4>
      </vt:variant>
      <vt:variant>
        <vt:i4>5</vt:i4>
      </vt:variant>
      <vt:variant>
        <vt:lpwstr/>
      </vt:variant>
      <vt:variant>
        <vt:lpwstr>_Toc380051949</vt:lpwstr>
      </vt:variant>
      <vt:variant>
        <vt:i4>1703999</vt:i4>
      </vt:variant>
      <vt:variant>
        <vt:i4>701</vt:i4>
      </vt:variant>
      <vt:variant>
        <vt:i4>0</vt:i4>
      </vt:variant>
      <vt:variant>
        <vt:i4>5</vt:i4>
      </vt:variant>
      <vt:variant>
        <vt:lpwstr/>
      </vt:variant>
      <vt:variant>
        <vt:lpwstr>_Toc380051948</vt:lpwstr>
      </vt:variant>
      <vt:variant>
        <vt:i4>1703999</vt:i4>
      </vt:variant>
      <vt:variant>
        <vt:i4>695</vt:i4>
      </vt:variant>
      <vt:variant>
        <vt:i4>0</vt:i4>
      </vt:variant>
      <vt:variant>
        <vt:i4>5</vt:i4>
      </vt:variant>
      <vt:variant>
        <vt:lpwstr/>
      </vt:variant>
      <vt:variant>
        <vt:lpwstr>_Toc380051947</vt:lpwstr>
      </vt:variant>
      <vt:variant>
        <vt:i4>1703999</vt:i4>
      </vt:variant>
      <vt:variant>
        <vt:i4>689</vt:i4>
      </vt:variant>
      <vt:variant>
        <vt:i4>0</vt:i4>
      </vt:variant>
      <vt:variant>
        <vt:i4>5</vt:i4>
      </vt:variant>
      <vt:variant>
        <vt:lpwstr/>
      </vt:variant>
      <vt:variant>
        <vt:lpwstr>_Toc380051946</vt:lpwstr>
      </vt:variant>
      <vt:variant>
        <vt:i4>1703999</vt:i4>
      </vt:variant>
      <vt:variant>
        <vt:i4>683</vt:i4>
      </vt:variant>
      <vt:variant>
        <vt:i4>0</vt:i4>
      </vt:variant>
      <vt:variant>
        <vt:i4>5</vt:i4>
      </vt:variant>
      <vt:variant>
        <vt:lpwstr/>
      </vt:variant>
      <vt:variant>
        <vt:lpwstr>_Toc380051945</vt:lpwstr>
      </vt:variant>
      <vt:variant>
        <vt:i4>1703999</vt:i4>
      </vt:variant>
      <vt:variant>
        <vt:i4>677</vt:i4>
      </vt:variant>
      <vt:variant>
        <vt:i4>0</vt:i4>
      </vt:variant>
      <vt:variant>
        <vt:i4>5</vt:i4>
      </vt:variant>
      <vt:variant>
        <vt:lpwstr/>
      </vt:variant>
      <vt:variant>
        <vt:lpwstr>_Toc380051944</vt:lpwstr>
      </vt:variant>
      <vt:variant>
        <vt:i4>1703999</vt:i4>
      </vt:variant>
      <vt:variant>
        <vt:i4>671</vt:i4>
      </vt:variant>
      <vt:variant>
        <vt:i4>0</vt:i4>
      </vt:variant>
      <vt:variant>
        <vt:i4>5</vt:i4>
      </vt:variant>
      <vt:variant>
        <vt:lpwstr/>
      </vt:variant>
      <vt:variant>
        <vt:lpwstr>_Toc380051943</vt:lpwstr>
      </vt:variant>
      <vt:variant>
        <vt:i4>1703999</vt:i4>
      </vt:variant>
      <vt:variant>
        <vt:i4>665</vt:i4>
      </vt:variant>
      <vt:variant>
        <vt:i4>0</vt:i4>
      </vt:variant>
      <vt:variant>
        <vt:i4>5</vt:i4>
      </vt:variant>
      <vt:variant>
        <vt:lpwstr/>
      </vt:variant>
      <vt:variant>
        <vt:lpwstr>_Toc380051942</vt:lpwstr>
      </vt:variant>
      <vt:variant>
        <vt:i4>1703999</vt:i4>
      </vt:variant>
      <vt:variant>
        <vt:i4>659</vt:i4>
      </vt:variant>
      <vt:variant>
        <vt:i4>0</vt:i4>
      </vt:variant>
      <vt:variant>
        <vt:i4>5</vt:i4>
      </vt:variant>
      <vt:variant>
        <vt:lpwstr/>
      </vt:variant>
      <vt:variant>
        <vt:lpwstr>_Toc380051941</vt:lpwstr>
      </vt:variant>
      <vt:variant>
        <vt:i4>1703999</vt:i4>
      </vt:variant>
      <vt:variant>
        <vt:i4>653</vt:i4>
      </vt:variant>
      <vt:variant>
        <vt:i4>0</vt:i4>
      </vt:variant>
      <vt:variant>
        <vt:i4>5</vt:i4>
      </vt:variant>
      <vt:variant>
        <vt:lpwstr/>
      </vt:variant>
      <vt:variant>
        <vt:lpwstr>_Toc380051940</vt:lpwstr>
      </vt:variant>
      <vt:variant>
        <vt:i4>1900607</vt:i4>
      </vt:variant>
      <vt:variant>
        <vt:i4>647</vt:i4>
      </vt:variant>
      <vt:variant>
        <vt:i4>0</vt:i4>
      </vt:variant>
      <vt:variant>
        <vt:i4>5</vt:i4>
      </vt:variant>
      <vt:variant>
        <vt:lpwstr/>
      </vt:variant>
      <vt:variant>
        <vt:lpwstr>_Toc380051939</vt:lpwstr>
      </vt:variant>
      <vt:variant>
        <vt:i4>1900607</vt:i4>
      </vt:variant>
      <vt:variant>
        <vt:i4>641</vt:i4>
      </vt:variant>
      <vt:variant>
        <vt:i4>0</vt:i4>
      </vt:variant>
      <vt:variant>
        <vt:i4>5</vt:i4>
      </vt:variant>
      <vt:variant>
        <vt:lpwstr/>
      </vt:variant>
      <vt:variant>
        <vt:lpwstr>_Toc380051938</vt:lpwstr>
      </vt:variant>
      <vt:variant>
        <vt:i4>1900607</vt:i4>
      </vt:variant>
      <vt:variant>
        <vt:i4>635</vt:i4>
      </vt:variant>
      <vt:variant>
        <vt:i4>0</vt:i4>
      </vt:variant>
      <vt:variant>
        <vt:i4>5</vt:i4>
      </vt:variant>
      <vt:variant>
        <vt:lpwstr/>
      </vt:variant>
      <vt:variant>
        <vt:lpwstr>_Toc380051937</vt:lpwstr>
      </vt:variant>
      <vt:variant>
        <vt:i4>1900607</vt:i4>
      </vt:variant>
      <vt:variant>
        <vt:i4>629</vt:i4>
      </vt:variant>
      <vt:variant>
        <vt:i4>0</vt:i4>
      </vt:variant>
      <vt:variant>
        <vt:i4>5</vt:i4>
      </vt:variant>
      <vt:variant>
        <vt:lpwstr/>
      </vt:variant>
      <vt:variant>
        <vt:lpwstr>_Toc380051936</vt:lpwstr>
      </vt:variant>
      <vt:variant>
        <vt:i4>1900607</vt:i4>
      </vt:variant>
      <vt:variant>
        <vt:i4>623</vt:i4>
      </vt:variant>
      <vt:variant>
        <vt:i4>0</vt:i4>
      </vt:variant>
      <vt:variant>
        <vt:i4>5</vt:i4>
      </vt:variant>
      <vt:variant>
        <vt:lpwstr/>
      </vt:variant>
      <vt:variant>
        <vt:lpwstr>_Toc380051935</vt:lpwstr>
      </vt:variant>
      <vt:variant>
        <vt:i4>1900607</vt:i4>
      </vt:variant>
      <vt:variant>
        <vt:i4>617</vt:i4>
      </vt:variant>
      <vt:variant>
        <vt:i4>0</vt:i4>
      </vt:variant>
      <vt:variant>
        <vt:i4>5</vt:i4>
      </vt:variant>
      <vt:variant>
        <vt:lpwstr/>
      </vt:variant>
      <vt:variant>
        <vt:lpwstr>_Toc380051934</vt:lpwstr>
      </vt:variant>
      <vt:variant>
        <vt:i4>1900607</vt:i4>
      </vt:variant>
      <vt:variant>
        <vt:i4>611</vt:i4>
      </vt:variant>
      <vt:variant>
        <vt:i4>0</vt:i4>
      </vt:variant>
      <vt:variant>
        <vt:i4>5</vt:i4>
      </vt:variant>
      <vt:variant>
        <vt:lpwstr/>
      </vt:variant>
      <vt:variant>
        <vt:lpwstr>_Toc380051933</vt:lpwstr>
      </vt:variant>
      <vt:variant>
        <vt:i4>1900607</vt:i4>
      </vt:variant>
      <vt:variant>
        <vt:i4>605</vt:i4>
      </vt:variant>
      <vt:variant>
        <vt:i4>0</vt:i4>
      </vt:variant>
      <vt:variant>
        <vt:i4>5</vt:i4>
      </vt:variant>
      <vt:variant>
        <vt:lpwstr/>
      </vt:variant>
      <vt:variant>
        <vt:lpwstr>_Toc380051932</vt:lpwstr>
      </vt:variant>
      <vt:variant>
        <vt:i4>1900607</vt:i4>
      </vt:variant>
      <vt:variant>
        <vt:i4>599</vt:i4>
      </vt:variant>
      <vt:variant>
        <vt:i4>0</vt:i4>
      </vt:variant>
      <vt:variant>
        <vt:i4>5</vt:i4>
      </vt:variant>
      <vt:variant>
        <vt:lpwstr/>
      </vt:variant>
      <vt:variant>
        <vt:lpwstr>_Toc380051931</vt:lpwstr>
      </vt:variant>
      <vt:variant>
        <vt:i4>1900607</vt:i4>
      </vt:variant>
      <vt:variant>
        <vt:i4>593</vt:i4>
      </vt:variant>
      <vt:variant>
        <vt:i4>0</vt:i4>
      </vt:variant>
      <vt:variant>
        <vt:i4>5</vt:i4>
      </vt:variant>
      <vt:variant>
        <vt:lpwstr/>
      </vt:variant>
      <vt:variant>
        <vt:lpwstr>_Toc380051930</vt:lpwstr>
      </vt:variant>
      <vt:variant>
        <vt:i4>1835071</vt:i4>
      </vt:variant>
      <vt:variant>
        <vt:i4>587</vt:i4>
      </vt:variant>
      <vt:variant>
        <vt:i4>0</vt:i4>
      </vt:variant>
      <vt:variant>
        <vt:i4>5</vt:i4>
      </vt:variant>
      <vt:variant>
        <vt:lpwstr/>
      </vt:variant>
      <vt:variant>
        <vt:lpwstr>_Toc380051929</vt:lpwstr>
      </vt:variant>
      <vt:variant>
        <vt:i4>1835071</vt:i4>
      </vt:variant>
      <vt:variant>
        <vt:i4>581</vt:i4>
      </vt:variant>
      <vt:variant>
        <vt:i4>0</vt:i4>
      </vt:variant>
      <vt:variant>
        <vt:i4>5</vt:i4>
      </vt:variant>
      <vt:variant>
        <vt:lpwstr/>
      </vt:variant>
      <vt:variant>
        <vt:lpwstr>_Toc380051928</vt:lpwstr>
      </vt:variant>
      <vt:variant>
        <vt:i4>1835071</vt:i4>
      </vt:variant>
      <vt:variant>
        <vt:i4>575</vt:i4>
      </vt:variant>
      <vt:variant>
        <vt:i4>0</vt:i4>
      </vt:variant>
      <vt:variant>
        <vt:i4>5</vt:i4>
      </vt:variant>
      <vt:variant>
        <vt:lpwstr/>
      </vt:variant>
      <vt:variant>
        <vt:lpwstr>_Toc380051927</vt:lpwstr>
      </vt:variant>
      <vt:variant>
        <vt:i4>1835071</vt:i4>
      </vt:variant>
      <vt:variant>
        <vt:i4>569</vt:i4>
      </vt:variant>
      <vt:variant>
        <vt:i4>0</vt:i4>
      </vt:variant>
      <vt:variant>
        <vt:i4>5</vt:i4>
      </vt:variant>
      <vt:variant>
        <vt:lpwstr/>
      </vt:variant>
      <vt:variant>
        <vt:lpwstr>_Toc380051926</vt:lpwstr>
      </vt:variant>
      <vt:variant>
        <vt:i4>1835071</vt:i4>
      </vt:variant>
      <vt:variant>
        <vt:i4>563</vt:i4>
      </vt:variant>
      <vt:variant>
        <vt:i4>0</vt:i4>
      </vt:variant>
      <vt:variant>
        <vt:i4>5</vt:i4>
      </vt:variant>
      <vt:variant>
        <vt:lpwstr/>
      </vt:variant>
      <vt:variant>
        <vt:lpwstr>_Toc380051925</vt:lpwstr>
      </vt:variant>
      <vt:variant>
        <vt:i4>1835071</vt:i4>
      </vt:variant>
      <vt:variant>
        <vt:i4>557</vt:i4>
      </vt:variant>
      <vt:variant>
        <vt:i4>0</vt:i4>
      </vt:variant>
      <vt:variant>
        <vt:i4>5</vt:i4>
      </vt:variant>
      <vt:variant>
        <vt:lpwstr/>
      </vt:variant>
      <vt:variant>
        <vt:lpwstr>_Toc380051924</vt:lpwstr>
      </vt:variant>
      <vt:variant>
        <vt:i4>1835071</vt:i4>
      </vt:variant>
      <vt:variant>
        <vt:i4>551</vt:i4>
      </vt:variant>
      <vt:variant>
        <vt:i4>0</vt:i4>
      </vt:variant>
      <vt:variant>
        <vt:i4>5</vt:i4>
      </vt:variant>
      <vt:variant>
        <vt:lpwstr/>
      </vt:variant>
      <vt:variant>
        <vt:lpwstr>_Toc380051923</vt:lpwstr>
      </vt:variant>
      <vt:variant>
        <vt:i4>1835071</vt:i4>
      </vt:variant>
      <vt:variant>
        <vt:i4>545</vt:i4>
      </vt:variant>
      <vt:variant>
        <vt:i4>0</vt:i4>
      </vt:variant>
      <vt:variant>
        <vt:i4>5</vt:i4>
      </vt:variant>
      <vt:variant>
        <vt:lpwstr/>
      </vt:variant>
      <vt:variant>
        <vt:lpwstr>_Toc380051922</vt:lpwstr>
      </vt:variant>
      <vt:variant>
        <vt:i4>1835071</vt:i4>
      </vt:variant>
      <vt:variant>
        <vt:i4>539</vt:i4>
      </vt:variant>
      <vt:variant>
        <vt:i4>0</vt:i4>
      </vt:variant>
      <vt:variant>
        <vt:i4>5</vt:i4>
      </vt:variant>
      <vt:variant>
        <vt:lpwstr/>
      </vt:variant>
      <vt:variant>
        <vt:lpwstr>_Toc380051921</vt:lpwstr>
      </vt:variant>
      <vt:variant>
        <vt:i4>1835071</vt:i4>
      </vt:variant>
      <vt:variant>
        <vt:i4>533</vt:i4>
      </vt:variant>
      <vt:variant>
        <vt:i4>0</vt:i4>
      </vt:variant>
      <vt:variant>
        <vt:i4>5</vt:i4>
      </vt:variant>
      <vt:variant>
        <vt:lpwstr/>
      </vt:variant>
      <vt:variant>
        <vt:lpwstr>_Toc380051920</vt:lpwstr>
      </vt:variant>
      <vt:variant>
        <vt:i4>2031679</vt:i4>
      </vt:variant>
      <vt:variant>
        <vt:i4>527</vt:i4>
      </vt:variant>
      <vt:variant>
        <vt:i4>0</vt:i4>
      </vt:variant>
      <vt:variant>
        <vt:i4>5</vt:i4>
      </vt:variant>
      <vt:variant>
        <vt:lpwstr/>
      </vt:variant>
      <vt:variant>
        <vt:lpwstr>_Toc380051919</vt:lpwstr>
      </vt:variant>
      <vt:variant>
        <vt:i4>2031679</vt:i4>
      </vt:variant>
      <vt:variant>
        <vt:i4>521</vt:i4>
      </vt:variant>
      <vt:variant>
        <vt:i4>0</vt:i4>
      </vt:variant>
      <vt:variant>
        <vt:i4>5</vt:i4>
      </vt:variant>
      <vt:variant>
        <vt:lpwstr/>
      </vt:variant>
      <vt:variant>
        <vt:lpwstr>_Toc380051918</vt:lpwstr>
      </vt:variant>
      <vt:variant>
        <vt:i4>2031679</vt:i4>
      </vt:variant>
      <vt:variant>
        <vt:i4>515</vt:i4>
      </vt:variant>
      <vt:variant>
        <vt:i4>0</vt:i4>
      </vt:variant>
      <vt:variant>
        <vt:i4>5</vt:i4>
      </vt:variant>
      <vt:variant>
        <vt:lpwstr/>
      </vt:variant>
      <vt:variant>
        <vt:lpwstr>_Toc380051917</vt:lpwstr>
      </vt:variant>
      <vt:variant>
        <vt:i4>2031679</vt:i4>
      </vt:variant>
      <vt:variant>
        <vt:i4>509</vt:i4>
      </vt:variant>
      <vt:variant>
        <vt:i4>0</vt:i4>
      </vt:variant>
      <vt:variant>
        <vt:i4>5</vt:i4>
      </vt:variant>
      <vt:variant>
        <vt:lpwstr/>
      </vt:variant>
      <vt:variant>
        <vt:lpwstr>_Toc380051916</vt:lpwstr>
      </vt:variant>
      <vt:variant>
        <vt:i4>2031679</vt:i4>
      </vt:variant>
      <vt:variant>
        <vt:i4>503</vt:i4>
      </vt:variant>
      <vt:variant>
        <vt:i4>0</vt:i4>
      </vt:variant>
      <vt:variant>
        <vt:i4>5</vt:i4>
      </vt:variant>
      <vt:variant>
        <vt:lpwstr/>
      </vt:variant>
      <vt:variant>
        <vt:lpwstr>_Toc380051915</vt:lpwstr>
      </vt:variant>
      <vt:variant>
        <vt:i4>2031679</vt:i4>
      </vt:variant>
      <vt:variant>
        <vt:i4>497</vt:i4>
      </vt:variant>
      <vt:variant>
        <vt:i4>0</vt:i4>
      </vt:variant>
      <vt:variant>
        <vt:i4>5</vt:i4>
      </vt:variant>
      <vt:variant>
        <vt:lpwstr/>
      </vt:variant>
      <vt:variant>
        <vt:lpwstr>_Toc380051914</vt:lpwstr>
      </vt:variant>
      <vt:variant>
        <vt:i4>2031679</vt:i4>
      </vt:variant>
      <vt:variant>
        <vt:i4>491</vt:i4>
      </vt:variant>
      <vt:variant>
        <vt:i4>0</vt:i4>
      </vt:variant>
      <vt:variant>
        <vt:i4>5</vt:i4>
      </vt:variant>
      <vt:variant>
        <vt:lpwstr/>
      </vt:variant>
      <vt:variant>
        <vt:lpwstr>_Toc380051913</vt:lpwstr>
      </vt:variant>
      <vt:variant>
        <vt:i4>2031679</vt:i4>
      </vt:variant>
      <vt:variant>
        <vt:i4>485</vt:i4>
      </vt:variant>
      <vt:variant>
        <vt:i4>0</vt:i4>
      </vt:variant>
      <vt:variant>
        <vt:i4>5</vt:i4>
      </vt:variant>
      <vt:variant>
        <vt:lpwstr/>
      </vt:variant>
      <vt:variant>
        <vt:lpwstr>_Toc380051912</vt:lpwstr>
      </vt:variant>
      <vt:variant>
        <vt:i4>1769534</vt:i4>
      </vt:variant>
      <vt:variant>
        <vt:i4>476</vt:i4>
      </vt:variant>
      <vt:variant>
        <vt:i4>0</vt:i4>
      </vt:variant>
      <vt:variant>
        <vt:i4>5</vt:i4>
      </vt:variant>
      <vt:variant>
        <vt:lpwstr/>
      </vt:variant>
      <vt:variant>
        <vt:lpwstr>_Toc380051856</vt:lpwstr>
      </vt:variant>
      <vt:variant>
        <vt:i4>1769534</vt:i4>
      </vt:variant>
      <vt:variant>
        <vt:i4>470</vt:i4>
      </vt:variant>
      <vt:variant>
        <vt:i4>0</vt:i4>
      </vt:variant>
      <vt:variant>
        <vt:i4>5</vt:i4>
      </vt:variant>
      <vt:variant>
        <vt:lpwstr/>
      </vt:variant>
      <vt:variant>
        <vt:lpwstr>_Toc380051855</vt:lpwstr>
      </vt:variant>
      <vt:variant>
        <vt:i4>1769534</vt:i4>
      </vt:variant>
      <vt:variant>
        <vt:i4>464</vt:i4>
      </vt:variant>
      <vt:variant>
        <vt:i4>0</vt:i4>
      </vt:variant>
      <vt:variant>
        <vt:i4>5</vt:i4>
      </vt:variant>
      <vt:variant>
        <vt:lpwstr/>
      </vt:variant>
      <vt:variant>
        <vt:lpwstr>_Toc380051854</vt:lpwstr>
      </vt:variant>
      <vt:variant>
        <vt:i4>1769534</vt:i4>
      </vt:variant>
      <vt:variant>
        <vt:i4>458</vt:i4>
      </vt:variant>
      <vt:variant>
        <vt:i4>0</vt:i4>
      </vt:variant>
      <vt:variant>
        <vt:i4>5</vt:i4>
      </vt:variant>
      <vt:variant>
        <vt:lpwstr/>
      </vt:variant>
      <vt:variant>
        <vt:lpwstr>_Toc380051853</vt:lpwstr>
      </vt:variant>
      <vt:variant>
        <vt:i4>1769534</vt:i4>
      </vt:variant>
      <vt:variant>
        <vt:i4>452</vt:i4>
      </vt:variant>
      <vt:variant>
        <vt:i4>0</vt:i4>
      </vt:variant>
      <vt:variant>
        <vt:i4>5</vt:i4>
      </vt:variant>
      <vt:variant>
        <vt:lpwstr/>
      </vt:variant>
      <vt:variant>
        <vt:lpwstr>_Toc380051852</vt:lpwstr>
      </vt:variant>
      <vt:variant>
        <vt:i4>1769534</vt:i4>
      </vt:variant>
      <vt:variant>
        <vt:i4>446</vt:i4>
      </vt:variant>
      <vt:variant>
        <vt:i4>0</vt:i4>
      </vt:variant>
      <vt:variant>
        <vt:i4>5</vt:i4>
      </vt:variant>
      <vt:variant>
        <vt:lpwstr/>
      </vt:variant>
      <vt:variant>
        <vt:lpwstr>_Toc380051851</vt:lpwstr>
      </vt:variant>
      <vt:variant>
        <vt:i4>1769534</vt:i4>
      </vt:variant>
      <vt:variant>
        <vt:i4>440</vt:i4>
      </vt:variant>
      <vt:variant>
        <vt:i4>0</vt:i4>
      </vt:variant>
      <vt:variant>
        <vt:i4>5</vt:i4>
      </vt:variant>
      <vt:variant>
        <vt:lpwstr/>
      </vt:variant>
      <vt:variant>
        <vt:lpwstr>_Toc380051850</vt:lpwstr>
      </vt:variant>
      <vt:variant>
        <vt:i4>1703998</vt:i4>
      </vt:variant>
      <vt:variant>
        <vt:i4>434</vt:i4>
      </vt:variant>
      <vt:variant>
        <vt:i4>0</vt:i4>
      </vt:variant>
      <vt:variant>
        <vt:i4>5</vt:i4>
      </vt:variant>
      <vt:variant>
        <vt:lpwstr/>
      </vt:variant>
      <vt:variant>
        <vt:lpwstr>_Toc380051849</vt:lpwstr>
      </vt:variant>
      <vt:variant>
        <vt:i4>1703998</vt:i4>
      </vt:variant>
      <vt:variant>
        <vt:i4>428</vt:i4>
      </vt:variant>
      <vt:variant>
        <vt:i4>0</vt:i4>
      </vt:variant>
      <vt:variant>
        <vt:i4>5</vt:i4>
      </vt:variant>
      <vt:variant>
        <vt:lpwstr/>
      </vt:variant>
      <vt:variant>
        <vt:lpwstr>_Toc380051848</vt:lpwstr>
      </vt:variant>
      <vt:variant>
        <vt:i4>1703998</vt:i4>
      </vt:variant>
      <vt:variant>
        <vt:i4>422</vt:i4>
      </vt:variant>
      <vt:variant>
        <vt:i4>0</vt:i4>
      </vt:variant>
      <vt:variant>
        <vt:i4>5</vt:i4>
      </vt:variant>
      <vt:variant>
        <vt:lpwstr/>
      </vt:variant>
      <vt:variant>
        <vt:lpwstr>_Toc380051847</vt:lpwstr>
      </vt:variant>
      <vt:variant>
        <vt:i4>1703998</vt:i4>
      </vt:variant>
      <vt:variant>
        <vt:i4>416</vt:i4>
      </vt:variant>
      <vt:variant>
        <vt:i4>0</vt:i4>
      </vt:variant>
      <vt:variant>
        <vt:i4>5</vt:i4>
      </vt:variant>
      <vt:variant>
        <vt:lpwstr/>
      </vt:variant>
      <vt:variant>
        <vt:lpwstr>_Toc380051846</vt:lpwstr>
      </vt:variant>
      <vt:variant>
        <vt:i4>1703998</vt:i4>
      </vt:variant>
      <vt:variant>
        <vt:i4>410</vt:i4>
      </vt:variant>
      <vt:variant>
        <vt:i4>0</vt:i4>
      </vt:variant>
      <vt:variant>
        <vt:i4>5</vt:i4>
      </vt:variant>
      <vt:variant>
        <vt:lpwstr/>
      </vt:variant>
      <vt:variant>
        <vt:lpwstr>_Toc380051845</vt:lpwstr>
      </vt:variant>
      <vt:variant>
        <vt:i4>1703998</vt:i4>
      </vt:variant>
      <vt:variant>
        <vt:i4>404</vt:i4>
      </vt:variant>
      <vt:variant>
        <vt:i4>0</vt:i4>
      </vt:variant>
      <vt:variant>
        <vt:i4>5</vt:i4>
      </vt:variant>
      <vt:variant>
        <vt:lpwstr/>
      </vt:variant>
      <vt:variant>
        <vt:lpwstr>_Toc380051844</vt:lpwstr>
      </vt:variant>
      <vt:variant>
        <vt:i4>1703998</vt:i4>
      </vt:variant>
      <vt:variant>
        <vt:i4>398</vt:i4>
      </vt:variant>
      <vt:variant>
        <vt:i4>0</vt:i4>
      </vt:variant>
      <vt:variant>
        <vt:i4>5</vt:i4>
      </vt:variant>
      <vt:variant>
        <vt:lpwstr/>
      </vt:variant>
      <vt:variant>
        <vt:lpwstr>_Toc380051843</vt:lpwstr>
      </vt:variant>
      <vt:variant>
        <vt:i4>1703998</vt:i4>
      </vt:variant>
      <vt:variant>
        <vt:i4>392</vt:i4>
      </vt:variant>
      <vt:variant>
        <vt:i4>0</vt:i4>
      </vt:variant>
      <vt:variant>
        <vt:i4>5</vt:i4>
      </vt:variant>
      <vt:variant>
        <vt:lpwstr/>
      </vt:variant>
      <vt:variant>
        <vt:lpwstr>_Toc380051842</vt:lpwstr>
      </vt:variant>
      <vt:variant>
        <vt:i4>1703998</vt:i4>
      </vt:variant>
      <vt:variant>
        <vt:i4>386</vt:i4>
      </vt:variant>
      <vt:variant>
        <vt:i4>0</vt:i4>
      </vt:variant>
      <vt:variant>
        <vt:i4>5</vt:i4>
      </vt:variant>
      <vt:variant>
        <vt:lpwstr/>
      </vt:variant>
      <vt:variant>
        <vt:lpwstr>_Toc380051841</vt:lpwstr>
      </vt:variant>
      <vt:variant>
        <vt:i4>1703998</vt:i4>
      </vt:variant>
      <vt:variant>
        <vt:i4>380</vt:i4>
      </vt:variant>
      <vt:variant>
        <vt:i4>0</vt:i4>
      </vt:variant>
      <vt:variant>
        <vt:i4>5</vt:i4>
      </vt:variant>
      <vt:variant>
        <vt:lpwstr/>
      </vt:variant>
      <vt:variant>
        <vt:lpwstr>_Toc380051840</vt:lpwstr>
      </vt:variant>
      <vt:variant>
        <vt:i4>1900606</vt:i4>
      </vt:variant>
      <vt:variant>
        <vt:i4>374</vt:i4>
      </vt:variant>
      <vt:variant>
        <vt:i4>0</vt:i4>
      </vt:variant>
      <vt:variant>
        <vt:i4>5</vt:i4>
      </vt:variant>
      <vt:variant>
        <vt:lpwstr/>
      </vt:variant>
      <vt:variant>
        <vt:lpwstr>_Toc380051839</vt:lpwstr>
      </vt:variant>
      <vt:variant>
        <vt:i4>1900606</vt:i4>
      </vt:variant>
      <vt:variant>
        <vt:i4>368</vt:i4>
      </vt:variant>
      <vt:variant>
        <vt:i4>0</vt:i4>
      </vt:variant>
      <vt:variant>
        <vt:i4>5</vt:i4>
      </vt:variant>
      <vt:variant>
        <vt:lpwstr/>
      </vt:variant>
      <vt:variant>
        <vt:lpwstr>_Toc380051838</vt:lpwstr>
      </vt:variant>
      <vt:variant>
        <vt:i4>1900606</vt:i4>
      </vt:variant>
      <vt:variant>
        <vt:i4>362</vt:i4>
      </vt:variant>
      <vt:variant>
        <vt:i4>0</vt:i4>
      </vt:variant>
      <vt:variant>
        <vt:i4>5</vt:i4>
      </vt:variant>
      <vt:variant>
        <vt:lpwstr/>
      </vt:variant>
      <vt:variant>
        <vt:lpwstr>_Toc380051837</vt:lpwstr>
      </vt:variant>
      <vt:variant>
        <vt:i4>1900606</vt:i4>
      </vt:variant>
      <vt:variant>
        <vt:i4>356</vt:i4>
      </vt:variant>
      <vt:variant>
        <vt:i4>0</vt:i4>
      </vt:variant>
      <vt:variant>
        <vt:i4>5</vt:i4>
      </vt:variant>
      <vt:variant>
        <vt:lpwstr/>
      </vt:variant>
      <vt:variant>
        <vt:lpwstr>_Toc380051836</vt:lpwstr>
      </vt:variant>
      <vt:variant>
        <vt:i4>1900606</vt:i4>
      </vt:variant>
      <vt:variant>
        <vt:i4>350</vt:i4>
      </vt:variant>
      <vt:variant>
        <vt:i4>0</vt:i4>
      </vt:variant>
      <vt:variant>
        <vt:i4>5</vt:i4>
      </vt:variant>
      <vt:variant>
        <vt:lpwstr/>
      </vt:variant>
      <vt:variant>
        <vt:lpwstr>_Toc380051835</vt:lpwstr>
      </vt:variant>
      <vt:variant>
        <vt:i4>1900606</vt:i4>
      </vt:variant>
      <vt:variant>
        <vt:i4>344</vt:i4>
      </vt:variant>
      <vt:variant>
        <vt:i4>0</vt:i4>
      </vt:variant>
      <vt:variant>
        <vt:i4>5</vt:i4>
      </vt:variant>
      <vt:variant>
        <vt:lpwstr/>
      </vt:variant>
      <vt:variant>
        <vt:lpwstr>_Toc380051834</vt:lpwstr>
      </vt:variant>
      <vt:variant>
        <vt:i4>1900606</vt:i4>
      </vt:variant>
      <vt:variant>
        <vt:i4>338</vt:i4>
      </vt:variant>
      <vt:variant>
        <vt:i4>0</vt:i4>
      </vt:variant>
      <vt:variant>
        <vt:i4>5</vt:i4>
      </vt:variant>
      <vt:variant>
        <vt:lpwstr/>
      </vt:variant>
      <vt:variant>
        <vt:lpwstr>_Toc380051833</vt:lpwstr>
      </vt:variant>
      <vt:variant>
        <vt:i4>1900606</vt:i4>
      </vt:variant>
      <vt:variant>
        <vt:i4>332</vt:i4>
      </vt:variant>
      <vt:variant>
        <vt:i4>0</vt:i4>
      </vt:variant>
      <vt:variant>
        <vt:i4>5</vt:i4>
      </vt:variant>
      <vt:variant>
        <vt:lpwstr/>
      </vt:variant>
      <vt:variant>
        <vt:lpwstr>_Toc380051832</vt:lpwstr>
      </vt:variant>
      <vt:variant>
        <vt:i4>1900606</vt:i4>
      </vt:variant>
      <vt:variant>
        <vt:i4>326</vt:i4>
      </vt:variant>
      <vt:variant>
        <vt:i4>0</vt:i4>
      </vt:variant>
      <vt:variant>
        <vt:i4>5</vt:i4>
      </vt:variant>
      <vt:variant>
        <vt:lpwstr/>
      </vt:variant>
      <vt:variant>
        <vt:lpwstr>_Toc380051831</vt:lpwstr>
      </vt:variant>
      <vt:variant>
        <vt:i4>1900606</vt:i4>
      </vt:variant>
      <vt:variant>
        <vt:i4>320</vt:i4>
      </vt:variant>
      <vt:variant>
        <vt:i4>0</vt:i4>
      </vt:variant>
      <vt:variant>
        <vt:i4>5</vt:i4>
      </vt:variant>
      <vt:variant>
        <vt:lpwstr/>
      </vt:variant>
      <vt:variant>
        <vt:lpwstr>_Toc380051830</vt:lpwstr>
      </vt:variant>
      <vt:variant>
        <vt:i4>1835070</vt:i4>
      </vt:variant>
      <vt:variant>
        <vt:i4>314</vt:i4>
      </vt:variant>
      <vt:variant>
        <vt:i4>0</vt:i4>
      </vt:variant>
      <vt:variant>
        <vt:i4>5</vt:i4>
      </vt:variant>
      <vt:variant>
        <vt:lpwstr/>
      </vt:variant>
      <vt:variant>
        <vt:lpwstr>_Toc380051829</vt:lpwstr>
      </vt:variant>
      <vt:variant>
        <vt:i4>1835070</vt:i4>
      </vt:variant>
      <vt:variant>
        <vt:i4>308</vt:i4>
      </vt:variant>
      <vt:variant>
        <vt:i4>0</vt:i4>
      </vt:variant>
      <vt:variant>
        <vt:i4>5</vt:i4>
      </vt:variant>
      <vt:variant>
        <vt:lpwstr/>
      </vt:variant>
      <vt:variant>
        <vt:lpwstr>_Toc380051828</vt:lpwstr>
      </vt:variant>
      <vt:variant>
        <vt:i4>1835070</vt:i4>
      </vt:variant>
      <vt:variant>
        <vt:i4>302</vt:i4>
      </vt:variant>
      <vt:variant>
        <vt:i4>0</vt:i4>
      </vt:variant>
      <vt:variant>
        <vt:i4>5</vt:i4>
      </vt:variant>
      <vt:variant>
        <vt:lpwstr/>
      </vt:variant>
      <vt:variant>
        <vt:lpwstr>_Toc380051827</vt:lpwstr>
      </vt:variant>
      <vt:variant>
        <vt:i4>1835070</vt:i4>
      </vt:variant>
      <vt:variant>
        <vt:i4>296</vt:i4>
      </vt:variant>
      <vt:variant>
        <vt:i4>0</vt:i4>
      </vt:variant>
      <vt:variant>
        <vt:i4>5</vt:i4>
      </vt:variant>
      <vt:variant>
        <vt:lpwstr/>
      </vt:variant>
      <vt:variant>
        <vt:lpwstr>_Toc380051826</vt:lpwstr>
      </vt:variant>
      <vt:variant>
        <vt:i4>1835070</vt:i4>
      </vt:variant>
      <vt:variant>
        <vt:i4>290</vt:i4>
      </vt:variant>
      <vt:variant>
        <vt:i4>0</vt:i4>
      </vt:variant>
      <vt:variant>
        <vt:i4>5</vt:i4>
      </vt:variant>
      <vt:variant>
        <vt:lpwstr/>
      </vt:variant>
      <vt:variant>
        <vt:lpwstr>_Toc380051825</vt:lpwstr>
      </vt:variant>
      <vt:variant>
        <vt:i4>1835070</vt:i4>
      </vt:variant>
      <vt:variant>
        <vt:i4>284</vt:i4>
      </vt:variant>
      <vt:variant>
        <vt:i4>0</vt:i4>
      </vt:variant>
      <vt:variant>
        <vt:i4>5</vt:i4>
      </vt:variant>
      <vt:variant>
        <vt:lpwstr/>
      </vt:variant>
      <vt:variant>
        <vt:lpwstr>_Toc380051824</vt:lpwstr>
      </vt:variant>
      <vt:variant>
        <vt:i4>1835070</vt:i4>
      </vt:variant>
      <vt:variant>
        <vt:i4>278</vt:i4>
      </vt:variant>
      <vt:variant>
        <vt:i4>0</vt:i4>
      </vt:variant>
      <vt:variant>
        <vt:i4>5</vt:i4>
      </vt:variant>
      <vt:variant>
        <vt:lpwstr/>
      </vt:variant>
      <vt:variant>
        <vt:lpwstr>_Toc380051823</vt:lpwstr>
      </vt:variant>
      <vt:variant>
        <vt:i4>1835070</vt:i4>
      </vt:variant>
      <vt:variant>
        <vt:i4>272</vt:i4>
      </vt:variant>
      <vt:variant>
        <vt:i4>0</vt:i4>
      </vt:variant>
      <vt:variant>
        <vt:i4>5</vt:i4>
      </vt:variant>
      <vt:variant>
        <vt:lpwstr/>
      </vt:variant>
      <vt:variant>
        <vt:lpwstr>_Toc380051822</vt:lpwstr>
      </vt:variant>
      <vt:variant>
        <vt:i4>1835070</vt:i4>
      </vt:variant>
      <vt:variant>
        <vt:i4>266</vt:i4>
      </vt:variant>
      <vt:variant>
        <vt:i4>0</vt:i4>
      </vt:variant>
      <vt:variant>
        <vt:i4>5</vt:i4>
      </vt:variant>
      <vt:variant>
        <vt:lpwstr/>
      </vt:variant>
      <vt:variant>
        <vt:lpwstr>_Toc380051821</vt:lpwstr>
      </vt:variant>
      <vt:variant>
        <vt:i4>1835070</vt:i4>
      </vt:variant>
      <vt:variant>
        <vt:i4>260</vt:i4>
      </vt:variant>
      <vt:variant>
        <vt:i4>0</vt:i4>
      </vt:variant>
      <vt:variant>
        <vt:i4>5</vt:i4>
      </vt:variant>
      <vt:variant>
        <vt:lpwstr/>
      </vt:variant>
      <vt:variant>
        <vt:lpwstr>_Toc380051820</vt:lpwstr>
      </vt:variant>
      <vt:variant>
        <vt:i4>2031678</vt:i4>
      </vt:variant>
      <vt:variant>
        <vt:i4>254</vt:i4>
      </vt:variant>
      <vt:variant>
        <vt:i4>0</vt:i4>
      </vt:variant>
      <vt:variant>
        <vt:i4>5</vt:i4>
      </vt:variant>
      <vt:variant>
        <vt:lpwstr/>
      </vt:variant>
      <vt:variant>
        <vt:lpwstr>_Toc380051819</vt:lpwstr>
      </vt:variant>
      <vt:variant>
        <vt:i4>2031678</vt:i4>
      </vt:variant>
      <vt:variant>
        <vt:i4>248</vt:i4>
      </vt:variant>
      <vt:variant>
        <vt:i4>0</vt:i4>
      </vt:variant>
      <vt:variant>
        <vt:i4>5</vt:i4>
      </vt:variant>
      <vt:variant>
        <vt:lpwstr/>
      </vt:variant>
      <vt:variant>
        <vt:lpwstr>_Toc380051818</vt:lpwstr>
      </vt:variant>
      <vt:variant>
        <vt:i4>2031678</vt:i4>
      </vt:variant>
      <vt:variant>
        <vt:i4>242</vt:i4>
      </vt:variant>
      <vt:variant>
        <vt:i4>0</vt:i4>
      </vt:variant>
      <vt:variant>
        <vt:i4>5</vt:i4>
      </vt:variant>
      <vt:variant>
        <vt:lpwstr/>
      </vt:variant>
      <vt:variant>
        <vt:lpwstr>_Toc380051817</vt:lpwstr>
      </vt:variant>
      <vt:variant>
        <vt:i4>2031678</vt:i4>
      </vt:variant>
      <vt:variant>
        <vt:i4>236</vt:i4>
      </vt:variant>
      <vt:variant>
        <vt:i4>0</vt:i4>
      </vt:variant>
      <vt:variant>
        <vt:i4>5</vt:i4>
      </vt:variant>
      <vt:variant>
        <vt:lpwstr/>
      </vt:variant>
      <vt:variant>
        <vt:lpwstr>_Toc380051816</vt:lpwstr>
      </vt:variant>
      <vt:variant>
        <vt:i4>2031678</vt:i4>
      </vt:variant>
      <vt:variant>
        <vt:i4>230</vt:i4>
      </vt:variant>
      <vt:variant>
        <vt:i4>0</vt:i4>
      </vt:variant>
      <vt:variant>
        <vt:i4>5</vt:i4>
      </vt:variant>
      <vt:variant>
        <vt:lpwstr/>
      </vt:variant>
      <vt:variant>
        <vt:lpwstr>_Toc380051815</vt:lpwstr>
      </vt:variant>
      <vt:variant>
        <vt:i4>2031678</vt:i4>
      </vt:variant>
      <vt:variant>
        <vt:i4>224</vt:i4>
      </vt:variant>
      <vt:variant>
        <vt:i4>0</vt:i4>
      </vt:variant>
      <vt:variant>
        <vt:i4>5</vt:i4>
      </vt:variant>
      <vt:variant>
        <vt:lpwstr/>
      </vt:variant>
      <vt:variant>
        <vt:lpwstr>_Toc380051814</vt:lpwstr>
      </vt:variant>
      <vt:variant>
        <vt:i4>2031678</vt:i4>
      </vt:variant>
      <vt:variant>
        <vt:i4>218</vt:i4>
      </vt:variant>
      <vt:variant>
        <vt:i4>0</vt:i4>
      </vt:variant>
      <vt:variant>
        <vt:i4>5</vt:i4>
      </vt:variant>
      <vt:variant>
        <vt:lpwstr/>
      </vt:variant>
      <vt:variant>
        <vt:lpwstr>_Toc380051813</vt:lpwstr>
      </vt:variant>
      <vt:variant>
        <vt:i4>2031678</vt:i4>
      </vt:variant>
      <vt:variant>
        <vt:i4>212</vt:i4>
      </vt:variant>
      <vt:variant>
        <vt:i4>0</vt:i4>
      </vt:variant>
      <vt:variant>
        <vt:i4>5</vt:i4>
      </vt:variant>
      <vt:variant>
        <vt:lpwstr/>
      </vt:variant>
      <vt:variant>
        <vt:lpwstr>_Toc380051812</vt:lpwstr>
      </vt:variant>
      <vt:variant>
        <vt:i4>2031678</vt:i4>
      </vt:variant>
      <vt:variant>
        <vt:i4>206</vt:i4>
      </vt:variant>
      <vt:variant>
        <vt:i4>0</vt:i4>
      </vt:variant>
      <vt:variant>
        <vt:i4>5</vt:i4>
      </vt:variant>
      <vt:variant>
        <vt:lpwstr/>
      </vt:variant>
      <vt:variant>
        <vt:lpwstr>_Toc380051811</vt:lpwstr>
      </vt:variant>
      <vt:variant>
        <vt:i4>2031678</vt:i4>
      </vt:variant>
      <vt:variant>
        <vt:i4>200</vt:i4>
      </vt:variant>
      <vt:variant>
        <vt:i4>0</vt:i4>
      </vt:variant>
      <vt:variant>
        <vt:i4>5</vt:i4>
      </vt:variant>
      <vt:variant>
        <vt:lpwstr/>
      </vt:variant>
      <vt:variant>
        <vt:lpwstr>_Toc380051810</vt:lpwstr>
      </vt:variant>
      <vt:variant>
        <vt:i4>1966142</vt:i4>
      </vt:variant>
      <vt:variant>
        <vt:i4>194</vt:i4>
      </vt:variant>
      <vt:variant>
        <vt:i4>0</vt:i4>
      </vt:variant>
      <vt:variant>
        <vt:i4>5</vt:i4>
      </vt:variant>
      <vt:variant>
        <vt:lpwstr/>
      </vt:variant>
      <vt:variant>
        <vt:lpwstr>_Toc380051809</vt:lpwstr>
      </vt:variant>
      <vt:variant>
        <vt:i4>1966142</vt:i4>
      </vt:variant>
      <vt:variant>
        <vt:i4>188</vt:i4>
      </vt:variant>
      <vt:variant>
        <vt:i4>0</vt:i4>
      </vt:variant>
      <vt:variant>
        <vt:i4>5</vt:i4>
      </vt:variant>
      <vt:variant>
        <vt:lpwstr/>
      </vt:variant>
      <vt:variant>
        <vt:lpwstr>_Toc380051808</vt:lpwstr>
      </vt:variant>
      <vt:variant>
        <vt:i4>1966142</vt:i4>
      </vt:variant>
      <vt:variant>
        <vt:i4>182</vt:i4>
      </vt:variant>
      <vt:variant>
        <vt:i4>0</vt:i4>
      </vt:variant>
      <vt:variant>
        <vt:i4>5</vt:i4>
      </vt:variant>
      <vt:variant>
        <vt:lpwstr/>
      </vt:variant>
      <vt:variant>
        <vt:lpwstr>_Toc380051807</vt:lpwstr>
      </vt:variant>
      <vt:variant>
        <vt:i4>1966142</vt:i4>
      </vt:variant>
      <vt:variant>
        <vt:i4>176</vt:i4>
      </vt:variant>
      <vt:variant>
        <vt:i4>0</vt:i4>
      </vt:variant>
      <vt:variant>
        <vt:i4>5</vt:i4>
      </vt:variant>
      <vt:variant>
        <vt:lpwstr/>
      </vt:variant>
      <vt:variant>
        <vt:lpwstr>_Toc380051806</vt:lpwstr>
      </vt:variant>
      <vt:variant>
        <vt:i4>1966142</vt:i4>
      </vt:variant>
      <vt:variant>
        <vt:i4>170</vt:i4>
      </vt:variant>
      <vt:variant>
        <vt:i4>0</vt:i4>
      </vt:variant>
      <vt:variant>
        <vt:i4>5</vt:i4>
      </vt:variant>
      <vt:variant>
        <vt:lpwstr/>
      </vt:variant>
      <vt:variant>
        <vt:lpwstr>_Toc380051805</vt:lpwstr>
      </vt:variant>
      <vt:variant>
        <vt:i4>1966142</vt:i4>
      </vt:variant>
      <vt:variant>
        <vt:i4>164</vt:i4>
      </vt:variant>
      <vt:variant>
        <vt:i4>0</vt:i4>
      </vt:variant>
      <vt:variant>
        <vt:i4>5</vt:i4>
      </vt:variant>
      <vt:variant>
        <vt:lpwstr/>
      </vt:variant>
      <vt:variant>
        <vt:lpwstr>_Toc380051804</vt:lpwstr>
      </vt:variant>
      <vt:variant>
        <vt:i4>1966142</vt:i4>
      </vt:variant>
      <vt:variant>
        <vt:i4>158</vt:i4>
      </vt:variant>
      <vt:variant>
        <vt:i4>0</vt:i4>
      </vt:variant>
      <vt:variant>
        <vt:i4>5</vt:i4>
      </vt:variant>
      <vt:variant>
        <vt:lpwstr/>
      </vt:variant>
      <vt:variant>
        <vt:lpwstr>_Toc380051803</vt:lpwstr>
      </vt:variant>
      <vt:variant>
        <vt:i4>1966142</vt:i4>
      </vt:variant>
      <vt:variant>
        <vt:i4>152</vt:i4>
      </vt:variant>
      <vt:variant>
        <vt:i4>0</vt:i4>
      </vt:variant>
      <vt:variant>
        <vt:i4>5</vt:i4>
      </vt:variant>
      <vt:variant>
        <vt:lpwstr/>
      </vt:variant>
      <vt:variant>
        <vt:lpwstr>_Toc380051802</vt:lpwstr>
      </vt:variant>
      <vt:variant>
        <vt:i4>1966142</vt:i4>
      </vt:variant>
      <vt:variant>
        <vt:i4>146</vt:i4>
      </vt:variant>
      <vt:variant>
        <vt:i4>0</vt:i4>
      </vt:variant>
      <vt:variant>
        <vt:i4>5</vt:i4>
      </vt:variant>
      <vt:variant>
        <vt:lpwstr/>
      </vt:variant>
      <vt:variant>
        <vt:lpwstr>_Toc380051801</vt:lpwstr>
      </vt:variant>
      <vt:variant>
        <vt:i4>1966142</vt:i4>
      </vt:variant>
      <vt:variant>
        <vt:i4>140</vt:i4>
      </vt:variant>
      <vt:variant>
        <vt:i4>0</vt:i4>
      </vt:variant>
      <vt:variant>
        <vt:i4>5</vt:i4>
      </vt:variant>
      <vt:variant>
        <vt:lpwstr/>
      </vt:variant>
      <vt:variant>
        <vt:lpwstr>_Toc380051800</vt:lpwstr>
      </vt:variant>
      <vt:variant>
        <vt:i4>1507377</vt:i4>
      </vt:variant>
      <vt:variant>
        <vt:i4>134</vt:i4>
      </vt:variant>
      <vt:variant>
        <vt:i4>0</vt:i4>
      </vt:variant>
      <vt:variant>
        <vt:i4>5</vt:i4>
      </vt:variant>
      <vt:variant>
        <vt:lpwstr/>
      </vt:variant>
      <vt:variant>
        <vt:lpwstr>_Toc380051799</vt:lpwstr>
      </vt:variant>
      <vt:variant>
        <vt:i4>1507377</vt:i4>
      </vt:variant>
      <vt:variant>
        <vt:i4>128</vt:i4>
      </vt:variant>
      <vt:variant>
        <vt:i4>0</vt:i4>
      </vt:variant>
      <vt:variant>
        <vt:i4>5</vt:i4>
      </vt:variant>
      <vt:variant>
        <vt:lpwstr/>
      </vt:variant>
      <vt:variant>
        <vt:lpwstr>_Toc380051798</vt:lpwstr>
      </vt:variant>
      <vt:variant>
        <vt:i4>1507377</vt:i4>
      </vt:variant>
      <vt:variant>
        <vt:i4>122</vt:i4>
      </vt:variant>
      <vt:variant>
        <vt:i4>0</vt:i4>
      </vt:variant>
      <vt:variant>
        <vt:i4>5</vt:i4>
      </vt:variant>
      <vt:variant>
        <vt:lpwstr/>
      </vt:variant>
      <vt:variant>
        <vt:lpwstr>_Toc380051797</vt:lpwstr>
      </vt:variant>
      <vt:variant>
        <vt:i4>1507377</vt:i4>
      </vt:variant>
      <vt:variant>
        <vt:i4>116</vt:i4>
      </vt:variant>
      <vt:variant>
        <vt:i4>0</vt:i4>
      </vt:variant>
      <vt:variant>
        <vt:i4>5</vt:i4>
      </vt:variant>
      <vt:variant>
        <vt:lpwstr/>
      </vt:variant>
      <vt:variant>
        <vt:lpwstr>_Toc380051796</vt:lpwstr>
      </vt:variant>
      <vt:variant>
        <vt:i4>1507377</vt:i4>
      </vt:variant>
      <vt:variant>
        <vt:i4>110</vt:i4>
      </vt:variant>
      <vt:variant>
        <vt:i4>0</vt:i4>
      </vt:variant>
      <vt:variant>
        <vt:i4>5</vt:i4>
      </vt:variant>
      <vt:variant>
        <vt:lpwstr/>
      </vt:variant>
      <vt:variant>
        <vt:lpwstr>_Toc380051795</vt:lpwstr>
      </vt:variant>
      <vt:variant>
        <vt:i4>1507377</vt:i4>
      </vt:variant>
      <vt:variant>
        <vt:i4>104</vt:i4>
      </vt:variant>
      <vt:variant>
        <vt:i4>0</vt:i4>
      </vt:variant>
      <vt:variant>
        <vt:i4>5</vt:i4>
      </vt:variant>
      <vt:variant>
        <vt:lpwstr/>
      </vt:variant>
      <vt:variant>
        <vt:lpwstr>_Toc380051794</vt:lpwstr>
      </vt:variant>
      <vt:variant>
        <vt:i4>1507377</vt:i4>
      </vt:variant>
      <vt:variant>
        <vt:i4>98</vt:i4>
      </vt:variant>
      <vt:variant>
        <vt:i4>0</vt:i4>
      </vt:variant>
      <vt:variant>
        <vt:i4>5</vt:i4>
      </vt:variant>
      <vt:variant>
        <vt:lpwstr/>
      </vt:variant>
      <vt:variant>
        <vt:lpwstr>_Toc380051793</vt:lpwstr>
      </vt:variant>
      <vt:variant>
        <vt:i4>1507377</vt:i4>
      </vt:variant>
      <vt:variant>
        <vt:i4>92</vt:i4>
      </vt:variant>
      <vt:variant>
        <vt:i4>0</vt:i4>
      </vt:variant>
      <vt:variant>
        <vt:i4>5</vt:i4>
      </vt:variant>
      <vt:variant>
        <vt:lpwstr/>
      </vt:variant>
      <vt:variant>
        <vt:lpwstr>_Toc380051792</vt:lpwstr>
      </vt:variant>
      <vt:variant>
        <vt:i4>1507377</vt:i4>
      </vt:variant>
      <vt:variant>
        <vt:i4>86</vt:i4>
      </vt:variant>
      <vt:variant>
        <vt:i4>0</vt:i4>
      </vt:variant>
      <vt:variant>
        <vt:i4>5</vt:i4>
      </vt:variant>
      <vt:variant>
        <vt:lpwstr/>
      </vt:variant>
      <vt:variant>
        <vt:lpwstr>_Toc380051791</vt:lpwstr>
      </vt:variant>
      <vt:variant>
        <vt:i4>1507377</vt:i4>
      </vt:variant>
      <vt:variant>
        <vt:i4>80</vt:i4>
      </vt:variant>
      <vt:variant>
        <vt:i4>0</vt:i4>
      </vt:variant>
      <vt:variant>
        <vt:i4>5</vt:i4>
      </vt:variant>
      <vt:variant>
        <vt:lpwstr/>
      </vt:variant>
      <vt:variant>
        <vt:lpwstr>_Toc380051790</vt:lpwstr>
      </vt:variant>
      <vt:variant>
        <vt:i4>1441841</vt:i4>
      </vt:variant>
      <vt:variant>
        <vt:i4>74</vt:i4>
      </vt:variant>
      <vt:variant>
        <vt:i4>0</vt:i4>
      </vt:variant>
      <vt:variant>
        <vt:i4>5</vt:i4>
      </vt:variant>
      <vt:variant>
        <vt:lpwstr/>
      </vt:variant>
      <vt:variant>
        <vt:lpwstr>_Toc380051789</vt:lpwstr>
      </vt:variant>
      <vt:variant>
        <vt:i4>1441841</vt:i4>
      </vt:variant>
      <vt:variant>
        <vt:i4>68</vt:i4>
      </vt:variant>
      <vt:variant>
        <vt:i4>0</vt:i4>
      </vt:variant>
      <vt:variant>
        <vt:i4>5</vt:i4>
      </vt:variant>
      <vt:variant>
        <vt:lpwstr/>
      </vt:variant>
      <vt:variant>
        <vt:lpwstr>_Toc380051788</vt:lpwstr>
      </vt:variant>
      <vt:variant>
        <vt:i4>1441841</vt:i4>
      </vt:variant>
      <vt:variant>
        <vt:i4>62</vt:i4>
      </vt:variant>
      <vt:variant>
        <vt:i4>0</vt:i4>
      </vt:variant>
      <vt:variant>
        <vt:i4>5</vt:i4>
      </vt:variant>
      <vt:variant>
        <vt:lpwstr/>
      </vt:variant>
      <vt:variant>
        <vt:lpwstr>_Toc380051787</vt:lpwstr>
      </vt:variant>
      <vt:variant>
        <vt:i4>1441841</vt:i4>
      </vt:variant>
      <vt:variant>
        <vt:i4>56</vt:i4>
      </vt:variant>
      <vt:variant>
        <vt:i4>0</vt:i4>
      </vt:variant>
      <vt:variant>
        <vt:i4>5</vt:i4>
      </vt:variant>
      <vt:variant>
        <vt:lpwstr/>
      </vt:variant>
      <vt:variant>
        <vt:lpwstr>_Toc380051786</vt:lpwstr>
      </vt:variant>
      <vt:variant>
        <vt:i4>1441841</vt:i4>
      </vt:variant>
      <vt:variant>
        <vt:i4>50</vt:i4>
      </vt:variant>
      <vt:variant>
        <vt:i4>0</vt:i4>
      </vt:variant>
      <vt:variant>
        <vt:i4>5</vt:i4>
      </vt:variant>
      <vt:variant>
        <vt:lpwstr/>
      </vt:variant>
      <vt:variant>
        <vt:lpwstr>_Toc380051785</vt:lpwstr>
      </vt:variant>
      <vt:variant>
        <vt:i4>1441841</vt:i4>
      </vt:variant>
      <vt:variant>
        <vt:i4>44</vt:i4>
      </vt:variant>
      <vt:variant>
        <vt:i4>0</vt:i4>
      </vt:variant>
      <vt:variant>
        <vt:i4>5</vt:i4>
      </vt:variant>
      <vt:variant>
        <vt:lpwstr/>
      </vt:variant>
      <vt:variant>
        <vt:lpwstr>_Toc380051784</vt:lpwstr>
      </vt:variant>
      <vt:variant>
        <vt:i4>1441841</vt:i4>
      </vt:variant>
      <vt:variant>
        <vt:i4>38</vt:i4>
      </vt:variant>
      <vt:variant>
        <vt:i4>0</vt:i4>
      </vt:variant>
      <vt:variant>
        <vt:i4>5</vt:i4>
      </vt:variant>
      <vt:variant>
        <vt:lpwstr/>
      </vt:variant>
      <vt:variant>
        <vt:lpwstr>_Toc380051783</vt:lpwstr>
      </vt:variant>
      <vt:variant>
        <vt:i4>1441841</vt:i4>
      </vt:variant>
      <vt:variant>
        <vt:i4>32</vt:i4>
      </vt:variant>
      <vt:variant>
        <vt:i4>0</vt:i4>
      </vt:variant>
      <vt:variant>
        <vt:i4>5</vt:i4>
      </vt:variant>
      <vt:variant>
        <vt:lpwstr/>
      </vt:variant>
      <vt:variant>
        <vt:lpwstr>_Toc380051782</vt:lpwstr>
      </vt:variant>
      <vt:variant>
        <vt:i4>1441841</vt:i4>
      </vt:variant>
      <vt:variant>
        <vt:i4>26</vt:i4>
      </vt:variant>
      <vt:variant>
        <vt:i4>0</vt:i4>
      </vt:variant>
      <vt:variant>
        <vt:i4>5</vt:i4>
      </vt:variant>
      <vt:variant>
        <vt:lpwstr/>
      </vt:variant>
      <vt:variant>
        <vt:lpwstr>_Toc380051781</vt:lpwstr>
      </vt:variant>
      <vt:variant>
        <vt:i4>1441841</vt:i4>
      </vt:variant>
      <vt:variant>
        <vt:i4>20</vt:i4>
      </vt:variant>
      <vt:variant>
        <vt:i4>0</vt:i4>
      </vt:variant>
      <vt:variant>
        <vt:i4>5</vt:i4>
      </vt:variant>
      <vt:variant>
        <vt:lpwstr/>
      </vt:variant>
      <vt:variant>
        <vt:lpwstr>_Toc380051780</vt:lpwstr>
      </vt:variant>
      <vt:variant>
        <vt:i4>1638449</vt:i4>
      </vt:variant>
      <vt:variant>
        <vt:i4>14</vt:i4>
      </vt:variant>
      <vt:variant>
        <vt:i4>0</vt:i4>
      </vt:variant>
      <vt:variant>
        <vt:i4>5</vt:i4>
      </vt:variant>
      <vt:variant>
        <vt:lpwstr/>
      </vt:variant>
      <vt:variant>
        <vt:lpwstr>_Toc380051779</vt:lpwstr>
      </vt:variant>
      <vt:variant>
        <vt:i4>1638449</vt:i4>
      </vt:variant>
      <vt:variant>
        <vt:i4>8</vt:i4>
      </vt:variant>
      <vt:variant>
        <vt:i4>0</vt:i4>
      </vt:variant>
      <vt:variant>
        <vt:i4>5</vt:i4>
      </vt:variant>
      <vt:variant>
        <vt:lpwstr/>
      </vt:variant>
      <vt:variant>
        <vt:lpwstr>_Toc380051778</vt:lpwstr>
      </vt:variant>
      <vt:variant>
        <vt:i4>1638449</vt:i4>
      </vt:variant>
      <vt:variant>
        <vt:i4>2</vt:i4>
      </vt:variant>
      <vt:variant>
        <vt:i4>0</vt:i4>
      </vt:variant>
      <vt:variant>
        <vt:i4>5</vt:i4>
      </vt:variant>
      <vt:variant>
        <vt:lpwstr/>
      </vt:variant>
      <vt:variant>
        <vt:lpwstr>_Toc380051777</vt:lpwstr>
      </vt:variant>
      <vt:variant>
        <vt:i4>4325417</vt:i4>
      </vt:variant>
      <vt:variant>
        <vt:i4>0</vt:i4>
      </vt:variant>
      <vt:variant>
        <vt:i4>0</vt:i4>
      </vt:variant>
      <vt:variant>
        <vt:i4>5</vt:i4>
      </vt:variant>
      <vt:variant>
        <vt:lpwstr>http://en.wikipedia.org/wiki/Heat_index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Hansen</dc:creator>
  <cp:lastModifiedBy>Dan Hansen</cp:lastModifiedBy>
  <cp:revision>9</cp:revision>
  <cp:lastPrinted>2015-03-04T15:42:00Z</cp:lastPrinted>
  <dcterms:created xsi:type="dcterms:W3CDTF">2015-03-29T19:00:00Z</dcterms:created>
  <dcterms:modified xsi:type="dcterms:W3CDTF">2015-03-30T20:18:00Z</dcterms:modified>
</cp:coreProperties>
</file>